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4370" w:right="0" w:firstLine="0"/>
        <w:rPr>
          <w:rFonts w:ascii="Times New Roman"/>
          <w:sz w:val="20"/>
        </w:rPr>
      </w:pPr>
      <w:r>
        <w:rPr>
          <w:rFonts w:ascii="Times New Roman"/>
          <w:sz w:val="20"/>
        </w:rPr>
        <w:drawing>
          <wp:inline distT="0" distB="0" distL="0" distR="0">
            <wp:extent cx="568240" cy="765238"/>
            <wp:effectExtent l="0" t="0" r="0" b="0"/>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568240" cy="765238"/>
                    </a:xfrm>
                    <a:prstGeom prst="rect">
                      <a:avLst/>
                    </a:prstGeom>
                  </pic:spPr>
                </pic:pic>
              </a:graphicData>
            </a:graphic>
          </wp:inline>
        </w:drawing>
      </w:r>
      <w:r>
        <w:rPr>
          <w:rFonts w:ascii="Times New Roman"/>
          <w:sz w:val="20"/>
        </w:rPr>
      </w:r>
    </w:p>
    <w:p>
      <w:pPr>
        <w:pStyle w:val="Heading1"/>
        <w:ind w:left="0" w:right="3888" w:firstLine="0"/>
        <w:jc w:val="right"/>
      </w:pPr>
      <w:r>
        <w:rPr>
          <w:spacing w:val="-2"/>
        </w:rPr>
        <w:t>GOVERNO</w:t>
      </w:r>
      <w:r>
        <w:rPr>
          <w:spacing w:val="-8"/>
        </w:rPr>
        <w:t> </w:t>
      </w:r>
      <w:r>
        <w:rPr>
          <w:spacing w:val="-2"/>
        </w:rPr>
        <w:t>DO</w:t>
      </w:r>
      <w:r>
        <w:rPr>
          <w:spacing w:val="-8"/>
        </w:rPr>
        <w:t> </w:t>
      </w:r>
      <w:r>
        <w:rPr>
          <w:spacing w:val="-2"/>
        </w:rPr>
        <w:t>ESTADO</w:t>
      </w:r>
      <w:r>
        <w:rPr>
          <w:spacing w:val="-8"/>
        </w:rPr>
        <w:t> </w:t>
      </w:r>
      <w:r>
        <w:rPr>
          <w:spacing w:val="-2"/>
        </w:rPr>
        <w:t>DE</w:t>
      </w:r>
      <w:r>
        <w:rPr>
          <w:spacing w:val="-9"/>
        </w:rPr>
        <w:t> </w:t>
      </w:r>
      <w:r>
        <w:rPr>
          <w:spacing w:val="-4"/>
        </w:rPr>
        <w:t>GOIÁS</w:t>
      </w:r>
    </w:p>
    <w:p>
      <w:pPr>
        <w:pStyle w:val="BodyText"/>
        <w:spacing w:before="6"/>
        <w:ind w:left="0"/>
        <w:rPr>
          <w:b/>
        </w:rPr>
      </w:pPr>
    </w:p>
    <w:p>
      <w:pPr>
        <w:pStyle w:val="BodyText"/>
        <w:ind w:left="0" w:right="3978"/>
        <w:jc w:val="right"/>
      </w:pPr>
      <w:r>
        <w:rPr>
          <w:spacing w:val="-2"/>
        </w:rPr>
        <w:t>ANEXO</w:t>
      </w:r>
      <w:r>
        <w:rPr>
          <w:spacing w:val="-6"/>
        </w:rPr>
        <w:t> </w:t>
      </w:r>
      <w:r>
        <w:rPr>
          <w:spacing w:val="-2"/>
        </w:rPr>
        <w:t>I</w:t>
      </w:r>
      <w:r>
        <w:rPr>
          <w:spacing w:val="-4"/>
        </w:rPr>
        <w:t> </w:t>
      </w:r>
      <w:r>
        <w:rPr>
          <w:spacing w:val="-2"/>
        </w:rPr>
        <w:t>—</w:t>
      </w:r>
      <w:r>
        <w:rPr>
          <w:spacing w:val="-4"/>
        </w:rPr>
        <w:t> </w:t>
      </w:r>
      <w:r>
        <w:rPr>
          <w:spacing w:val="-2"/>
        </w:rPr>
        <w:t>INSTRUMENTO</w:t>
      </w:r>
      <w:r>
        <w:rPr>
          <w:spacing w:val="-8"/>
        </w:rPr>
        <w:t> </w:t>
      </w:r>
      <w:r>
        <w:rPr>
          <w:spacing w:val="-2"/>
        </w:rPr>
        <w:t>DE</w:t>
      </w:r>
      <w:r>
        <w:rPr>
          <w:spacing w:val="-9"/>
        </w:rPr>
        <w:t> </w:t>
      </w:r>
      <w:r>
        <w:rPr>
          <w:spacing w:val="-2"/>
        </w:rPr>
        <w:t>MEDIÇÃO</w:t>
      </w:r>
      <w:r>
        <w:rPr>
          <w:spacing w:val="-8"/>
        </w:rPr>
        <w:t> </w:t>
      </w:r>
      <w:r>
        <w:rPr>
          <w:spacing w:val="-2"/>
        </w:rPr>
        <w:t>DE</w:t>
      </w:r>
      <w:r>
        <w:rPr>
          <w:spacing w:val="-6"/>
        </w:rPr>
        <w:t> </w:t>
      </w:r>
      <w:r>
        <w:rPr>
          <w:spacing w:val="-2"/>
        </w:rPr>
        <w:t>RESULTADO</w:t>
      </w:r>
      <w:r>
        <w:rPr>
          <w:spacing w:val="-3"/>
        </w:rPr>
        <w:t> </w:t>
      </w:r>
      <w:r>
        <w:rPr>
          <w:spacing w:val="-2"/>
        </w:rPr>
        <w:t>—</w:t>
      </w:r>
      <w:r>
        <w:rPr>
          <w:spacing w:val="-1"/>
        </w:rPr>
        <w:t> </w:t>
      </w:r>
      <w:r>
        <w:rPr>
          <w:spacing w:val="-5"/>
        </w:rPr>
        <w:t>IMR</w:t>
      </w:r>
    </w:p>
    <w:p>
      <w:pPr>
        <w:pStyle w:val="Heading1"/>
        <w:numPr>
          <w:ilvl w:val="0"/>
          <w:numId w:val="1"/>
        </w:numPr>
        <w:tabs>
          <w:tab w:pos="778" w:val="left" w:leader="none"/>
        </w:tabs>
        <w:spacing w:line="240" w:lineRule="auto" w:before="178" w:after="0"/>
        <w:ind w:left="778" w:right="0" w:hanging="212"/>
        <w:jc w:val="left"/>
      </w:pPr>
      <w:r>
        <w:rPr>
          <w:spacing w:val="-2"/>
        </w:rPr>
        <w:t>Finalidade</w:t>
      </w:r>
    </w:p>
    <w:p>
      <w:pPr>
        <w:pStyle w:val="ListParagraph"/>
        <w:numPr>
          <w:ilvl w:val="1"/>
          <w:numId w:val="1"/>
        </w:numPr>
        <w:tabs>
          <w:tab w:pos="952" w:val="left" w:leader="none"/>
        </w:tabs>
        <w:spacing w:line="259" w:lineRule="auto" w:before="182" w:after="0"/>
        <w:ind w:left="566" w:right="1125" w:firstLine="0"/>
        <w:jc w:val="both"/>
        <w:rPr>
          <w:sz w:val="22"/>
        </w:rPr>
      </w:pPr>
      <w:r>
        <w:rPr>
          <w:sz w:val="22"/>
        </w:rPr>
        <w:t>O presente Instrumento de Medição de Resultado — IMR tem por finalidade estabelecer parâmetros objetivos para acompanhamento, medição, fiscalização e avaliação da execução contratual, permitindo aferir a qualidade, regularidade, disponibilidade, tempestividade e conformidade dos serviços de locação de veículos automotores prestados à GOINFRA.</w:t>
      </w:r>
    </w:p>
    <w:p>
      <w:pPr>
        <w:pStyle w:val="ListParagraph"/>
        <w:numPr>
          <w:ilvl w:val="1"/>
          <w:numId w:val="1"/>
        </w:numPr>
        <w:tabs>
          <w:tab w:pos="952" w:val="left" w:leader="none"/>
        </w:tabs>
        <w:spacing w:line="259" w:lineRule="auto" w:before="163" w:after="0"/>
        <w:ind w:left="566" w:right="1124" w:firstLine="0"/>
        <w:jc w:val="both"/>
        <w:rPr>
          <w:sz w:val="22"/>
        </w:rPr>
      </w:pPr>
      <w:r>
        <w:rPr>
          <w:sz w:val="22"/>
        </w:rPr>
        <w:t>O IMR servirá de apoio à fiscalização contratual para apuração de falhas, atrasos, indisponibilidades, desconformidades, descumprimento de obrigações acessórias e demais ocorrências que possam impactar a execução do objeto, a continuidade da frota e a qualidade dos serviços prestados.</w:t>
      </w:r>
    </w:p>
    <w:p>
      <w:pPr>
        <w:pStyle w:val="ListParagraph"/>
        <w:numPr>
          <w:ilvl w:val="1"/>
          <w:numId w:val="1"/>
        </w:numPr>
        <w:tabs>
          <w:tab w:pos="948" w:val="left" w:leader="none"/>
        </w:tabs>
        <w:spacing w:line="259" w:lineRule="auto" w:before="157" w:after="0"/>
        <w:ind w:left="566" w:right="1128" w:firstLine="0"/>
        <w:jc w:val="both"/>
        <w:rPr>
          <w:sz w:val="22"/>
        </w:rPr>
      </w:pPr>
      <w:r>
        <w:rPr>
          <w:sz w:val="22"/>
        </w:rPr>
        <w:t>As glosas previstas neste anexo possuem natureza de redimensionamento do pagamento, em razão de serviço não executado, executado parcialmente, executado em desconformidade ou disponibilizado em condições inferiores às exigidas, sem prejuízo da aplicação das sanções administrativas cabíveis.</w:t>
      </w:r>
    </w:p>
    <w:p>
      <w:pPr>
        <w:pStyle w:val="BodyText"/>
        <w:spacing w:before="106"/>
        <w:ind w:left="0"/>
        <w:rPr>
          <w:sz w:val="20"/>
        </w:rPr>
      </w:pPr>
      <w:r>
        <w:rPr>
          <w:sz w:val="20"/>
        </w:rPr>
        <mc:AlternateContent>
          <mc:Choice Requires="wps">
            <w:drawing>
              <wp:anchor distT="0" distB="0" distL="0" distR="0" allowOverlap="1" layoutInCell="1" locked="0" behindDoc="1" simplePos="0" relativeHeight="487587840">
                <wp:simplePos x="0" y="0"/>
                <wp:positionH relativeFrom="page">
                  <wp:posOffset>1078865</wp:posOffset>
                </wp:positionH>
                <wp:positionV relativeFrom="paragraph">
                  <wp:posOffset>237815</wp:posOffset>
                </wp:positionV>
                <wp:extent cx="5403215" cy="6350"/>
                <wp:effectExtent l="0" t="0" r="0" b="0"/>
                <wp:wrapTopAndBottom/>
                <wp:docPr id="2" name="Graphic 2"/>
                <wp:cNvGraphicFramePr>
                  <a:graphicFrameLocks/>
                </wp:cNvGraphicFramePr>
                <a:graphic>
                  <a:graphicData uri="http://schemas.microsoft.com/office/word/2010/wordprocessingShape">
                    <wps:wsp>
                      <wps:cNvPr id="2" name="Graphic 2"/>
                      <wps:cNvSpPr/>
                      <wps:spPr>
                        <a:xfrm>
                          <a:off x="0" y="0"/>
                          <a:ext cx="5403215" cy="6350"/>
                        </a:xfrm>
                        <a:custGeom>
                          <a:avLst/>
                          <a:gdLst/>
                          <a:ahLst/>
                          <a:cxnLst/>
                          <a:rect l="l" t="t" r="r" b="b"/>
                          <a:pathLst>
                            <a:path w="5403215" h="6350">
                              <a:moveTo>
                                <a:pt x="3022" y="3060"/>
                              </a:moveTo>
                              <a:lnTo>
                                <a:pt x="0" y="3060"/>
                              </a:lnTo>
                              <a:lnTo>
                                <a:pt x="0" y="6096"/>
                              </a:lnTo>
                              <a:lnTo>
                                <a:pt x="3022" y="6096"/>
                              </a:lnTo>
                              <a:lnTo>
                                <a:pt x="3022" y="3060"/>
                              </a:lnTo>
                              <a:close/>
                            </a:path>
                            <a:path w="5403215" h="6350">
                              <a:moveTo>
                                <a:pt x="3022" y="12"/>
                              </a:moveTo>
                              <a:lnTo>
                                <a:pt x="0" y="12"/>
                              </a:lnTo>
                              <a:lnTo>
                                <a:pt x="0" y="3048"/>
                              </a:lnTo>
                              <a:lnTo>
                                <a:pt x="3022" y="3048"/>
                              </a:lnTo>
                              <a:lnTo>
                                <a:pt x="3022" y="12"/>
                              </a:lnTo>
                              <a:close/>
                            </a:path>
                            <a:path w="5403215" h="6350">
                              <a:moveTo>
                                <a:pt x="5403088" y="0"/>
                              </a:moveTo>
                              <a:lnTo>
                                <a:pt x="3048" y="0"/>
                              </a:lnTo>
                              <a:lnTo>
                                <a:pt x="3048" y="3048"/>
                              </a:lnTo>
                              <a:lnTo>
                                <a:pt x="3048" y="6096"/>
                              </a:lnTo>
                              <a:lnTo>
                                <a:pt x="5403088" y="6096"/>
                              </a:lnTo>
                              <a:lnTo>
                                <a:pt x="5403088" y="3048"/>
                              </a:lnTo>
                              <a:lnTo>
                                <a:pt x="5403088"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84.950005pt;margin-top:18.725603pt;width:425.45pt;height:.5pt;mso-position-horizontal-relative:page;mso-position-vertical-relative:paragraph;z-index:-15728640;mso-wrap-distance-left:0;mso-wrap-distance-right:0" id="docshape1" coordorigin="1699,375" coordsize="8509,10" path="m1704,379l1699,379,1699,384,1704,384,1704,379xm1704,375l1699,375,1699,379,1704,379,1704,375xm10208,375l1704,375,1704,379,1704,384,10208,384,10208,379,10208,375xe" filled="true" fillcolor="#9f9f9f" stroked="false">
                <v:path arrowok="t"/>
                <v:fill type="solid"/>
                <w10:wrap type="topAndBottom"/>
              </v:shape>
            </w:pict>
          </mc:Fallback>
        </mc:AlternateContent>
      </w:r>
    </w:p>
    <w:p>
      <w:pPr>
        <w:pStyle w:val="Heading1"/>
        <w:numPr>
          <w:ilvl w:val="0"/>
          <w:numId w:val="1"/>
        </w:numPr>
        <w:tabs>
          <w:tab w:pos="778" w:val="left" w:leader="none"/>
        </w:tabs>
        <w:spacing w:line="240" w:lineRule="auto" w:before="223" w:after="0"/>
        <w:ind w:left="778" w:right="0" w:hanging="212"/>
        <w:jc w:val="left"/>
      </w:pPr>
      <w:r>
        <w:rPr/>
        <w:t>Critérios</w:t>
      </w:r>
      <w:r>
        <w:rPr>
          <w:spacing w:val="-13"/>
        </w:rPr>
        <w:t> </w:t>
      </w:r>
      <w:r>
        <w:rPr/>
        <w:t>gerais</w:t>
      </w:r>
      <w:r>
        <w:rPr>
          <w:spacing w:val="-12"/>
        </w:rPr>
        <w:t> </w:t>
      </w:r>
      <w:r>
        <w:rPr/>
        <w:t>de</w:t>
      </w:r>
      <w:r>
        <w:rPr>
          <w:spacing w:val="-11"/>
        </w:rPr>
        <w:t> </w:t>
      </w:r>
      <w:r>
        <w:rPr>
          <w:spacing w:val="-2"/>
        </w:rPr>
        <w:t>aplicação</w:t>
      </w:r>
    </w:p>
    <w:p>
      <w:pPr>
        <w:pStyle w:val="ListParagraph"/>
        <w:numPr>
          <w:ilvl w:val="1"/>
          <w:numId w:val="1"/>
        </w:numPr>
        <w:tabs>
          <w:tab w:pos="948" w:val="left" w:leader="none"/>
        </w:tabs>
        <w:spacing w:line="261" w:lineRule="auto" w:before="183" w:after="0"/>
        <w:ind w:left="566" w:right="1171" w:firstLine="0"/>
        <w:jc w:val="both"/>
        <w:rPr>
          <w:sz w:val="22"/>
        </w:rPr>
      </w:pPr>
      <w:r>
        <w:rPr>
          <w:sz w:val="22"/>
        </w:rPr>
        <w:t>A</w:t>
      </w:r>
      <w:r>
        <w:rPr>
          <w:spacing w:val="-2"/>
          <w:sz w:val="22"/>
        </w:rPr>
        <w:t> </w:t>
      </w:r>
      <w:r>
        <w:rPr>
          <w:sz w:val="22"/>
        </w:rPr>
        <w:t>apuração</w:t>
      </w:r>
      <w:r>
        <w:rPr>
          <w:spacing w:val="-1"/>
          <w:sz w:val="22"/>
        </w:rPr>
        <w:t> </w:t>
      </w:r>
      <w:r>
        <w:rPr>
          <w:sz w:val="22"/>
        </w:rPr>
        <w:t>dos</w:t>
      </w:r>
      <w:r>
        <w:rPr>
          <w:spacing w:val="-4"/>
          <w:sz w:val="22"/>
        </w:rPr>
        <w:t> </w:t>
      </w:r>
      <w:r>
        <w:rPr>
          <w:sz w:val="22"/>
        </w:rPr>
        <w:t>indicadores</w:t>
      </w:r>
      <w:r>
        <w:rPr>
          <w:spacing w:val="-1"/>
          <w:sz w:val="22"/>
        </w:rPr>
        <w:t> </w:t>
      </w:r>
      <w:r>
        <w:rPr>
          <w:sz w:val="22"/>
        </w:rPr>
        <w:t>será</w:t>
      </w:r>
      <w:r>
        <w:rPr>
          <w:spacing w:val="-5"/>
          <w:sz w:val="22"/>
        </w:rPr>
        <w:t> </w:t>
      </w:r>
      <w:r>
        <w:rPr>
          <w:sz w:val="22"/>
        </w:rPr>
        <w:t>realizada</w:t>
      </w:r>
      <w:r>
        <w:rPr>
          <w:spacing w:val="-4"/>
          <w:sz w:val="22"/>
        </w:rPr>
        <w:t> </w:t>
      </w:r>
      <w:r>
        <w:rPr>
          <w:sz w:val="22"/>
        </w:rPr>
        <w:t>pela</w:t>
      </w:r>
      <w:r>
        <w:rPr>
          <w:spacing w:val="-4"/>
          <w:sz w:val="22"/>
        </w:rPr>
        <w:t> </w:t>
      </w:r>
      <w:r>
        <w:rPr>
          <w:sz w:val="22"/>
        </w:rPr>
        <w:t>fiscalização</w:t>
      </w:r>
      <w:r>
        <w:rPr>
          <w:spacing w:val="-4"/>
          <w:sz w:val="22"/>
        </w:rPr>
        <w:t> </w:t>
      </w:r>
      <w:r>
        <w:rPr>
          <w:sz w:val="22"/>
        </w:rPr>
        <w:t>contratual,</w:t>
      </w:r>
      <w:r>
        <w:rPr>
          <w:spacing w:val="-5"/>
          <w:sz w:val="22"/>
        </w:rPr>
        <w:t> </w:t>
      </w:r>
      <w:r>
        <w:rPr>
          <w:sz w:val="22"/>
        </w:rPr>
        <w:t>de</w:t>
      </w:r>
      <w:r>
        <w:rPr>
          <w:spacing w:val="-4"/>
          <w:sz w:val="22"/>
        </w:rPr>
        <w:t> </w:t>
      </w:r>
      <w:r>
        <w:rPr>
          <w:sz w:val="22"/>
        </w:rPr>
        <w:t>forma</w:t>
      </w:r>
      <w:r>
        <w:rPr>
          <w:spacing w:val="-8"/>
          <w:sz w:val="22"/>
        </w:rPr>
        <w:t> </w:t>
      </w:r>
      <w:r>
        <w:rPr>
          <w:sz w:val="22"/>
        </w:rPr>
        <w:t>mensal</w:t>
      </w:r>
      <w:r>
        <w:rPr>
          <w:spacing w:val="-6"/>
          <w:sz w:val="22"/>
        </w:rPr>
        <w:t> </w:t>
      </w:r>
      <w:r>
        <w:rPr>
          <w:sz w:val="22"/>
        </w:rPr>
        <w:t>ou por ocorrência, conforme a natureza do indicador.</w:t>
      </w:r>
    </w:p>
    <w:p>
      <w:pPr>
        <w:pStyle w:val="ListParagraph"/>
        <w:numPr>
          <w:ilvl w:val="1"/>
          <w:numId w:val="1"/>
        </w:numPr>
        <w:tabs>
          <w:tab w:pos="948" w:val="left" w:leader="none"/>
        </w:tabs>
        <w:spacing w:line="240" w:lineRule="auto" w:before="151" w:after="0"/>
        <w:ind w:left="948" w:right="0" w:hanging="382"/>
        <w:jc w:val="left"/>
        <w:rPr>
          <w:sz w:val="22"/>
        </w:rPr>
      </w:pPr>
      <w:r>
        <w:rPr>
          <w:sz w:val="22"/>
        </w:rPr>
        <w:t>Para</w:t>
      </w:r>
      <w:r>
        <w:rPr>
          <w:spacing w:val="-12"/>
          <w:sz w:val="22"/>
        </w:rPr>
        <w:t> </w:t>
      </w:r>
      <w:r>
        <w:rPr>
          <w:sz w:val="22"/>
        </w:rPr>
        <w:t>fins</w:t>
      </w:r>
      <w:r>
        <w:rPr>
          <w:spacing w:val="-12"/>
          <w:sz w:val="22"/>
        </w:rPr>
        <w:t> </w:t>
      </w:r>
      <w:r>
        <w:rPr>
          <w:sz w:val="22"/>
        </w:rPr>
        <w:t>de</w:t>
      </w:r>
      <w:r>
        <w:rPr>
          <w:spacing w:val="-12"/>
          <w:sz w:val="22"/>
        </w:rPr>
        <w:t> </w:t>
      </w:r>
      <w:r>
        <w:rPr>
          <w:sz w:val="22"/>
        </w:rPr>
        <w:t>cálculo</w:t>
      </w:r>
      <w:r>
        <w:rPr>
          <w:spacing w:val="-11"/>
          <w:sz w:val="22"/>
        </w:rPr>
        <w:t> </w:t>
      </w:r>
      <w:r>
        <w:rPr>
          <w:sz w:val="22"/>
        </w:rPr>
        <w:t>das</w:t>
      </w:r>
      <w:r>
        <w:rPr>
          <w:spacing w:val="-12"/>
          <w:sz w:val="22"/>
        </w:rPr>
        <w:t> </w:t>
      </w:r>
      <w:r>
        <w:rPr>
          <w:sz w:val="22"/>
        </w:rPr>
        <w:t>glosas,</w:t>
      </w:r>
      <w:r>
        <w:rPr>
          <w:spacing w:val="-13"/>
          <w:sz w:val="22"/>
        </w:rPr>
        <w:t> </w:t>
      </w:r>
      <w:r>
        <w:rPr>
          <w:sz w:val="22"/>
        </w:rPr>
        <w:t>serão</w:t>
      </w:r>
      <w:r>
        <w:rPr>
          <w:spacing w:val="-12"/>
          <w:sz w:val="22"/>
        </w:rPr>
        <w:t> </w:t>
      </w:r>
      <w:r>
        <w:rPr>
          <w:sz w:val="22"/>
        </w:rPr>
        <w:t>considerados,</w:t>
      </w:r>
      <w:r>
        <w:rPr>
          <w:spacing w:val="-12"/>
          <w:sz w:val="22"/>
        </w:rPr>
        <w:t> </w:t>
      </w:r>
      <w:r>
        <w:rPr>
          <w:sz w:val="22"/>
        </w:rPr>
        <w:t>quando</w:t>
      </w:r>
      <w:r>
        <w:rPr>
          <w:spacing w:val="-9"/>
          <w:sz w:val="22"/>
        </w:rPr>
        <w:t> </w:t>
      </w:r>
      <w:r>
        <w:rPr>
          <w:spacing w:val="-2"/>
          <w:sz w:val="22"/>
        </w:rPr>
        <w:t>aplicáveis:</w:t>
      </w:r>
    </w:p>
    <w:p>
      <w:pPr>
        <w:pStyle w:val="ListParagraph"/>
        <w:numPr>
          <w:ilvl w:val="0"/>
          <w:numId w:val="2"/>
        </w:numPr>
        <w:tabs>
          <w:tab w:pos="791" w:val="left" w:leader="none"/>
        </w:tabs>
        <w:spacing w:line="240" w:lineRule="auto" w:before="185" w:after="0"/>
        <w:ind w:left="791" w:right="0" w:hanging="225"/>
        <w:jc w:val="left"/>
        <w:rPr>
          <w:sz w:val="22"/>
        </w:rPr>
      </w:pPr>
      <w:r>
        <w:rPr>
          <w:sz w:val="22"/>
        </w:rPr>
        <w:t>o</w:t>
      </w:r>
      <w:r>
        <w:rPr>
          <w:spacing w:val="-9"/>
          <w:sz w:val="22"/>
        </w:rPr>
        <w:t> </w:t>
      </w:r>
      <w:r>
        <w:rPr>
          <w:sz w:val="22"/>
        </w:rPr>
        <w:t>valor</w:t>
      </w:r>
      <w:r>
        <w:rPr>
          <w:spacing w:val="-8"/>
          <w:sz w:val="22"/>
        </w:rPr>
        <w:t> </w:t>
      </w:r>
      <w:r>
        <w:rPr>
          <w:sz w:val="22"/>
        </w:rPr>
        <w:t>mensal</w:t>
      </w:r>
      <w:r>
        <w:rPr>
          <w:spacing w:val="-6"/>
          <w:sz w:val="22"/>
        </w:rPr>
        <w:t> </w:t>
      </w:r>
      <w:r>
        <w:rPr>
          <w:sz w:val="22"/>
        </w:rPr>
        <w:t>unitário</w:t>
      </w:r>
      <w:r>
        <w:rPr>
          <w:spacing w:val="-6"/>
          <w:sz w:val="22"/>
        </w:rPr>
        <w:t> </w:t>
      </w:r>
      <w:r>
        <w:rPr>
          <w:sz w:val="22"/>
        </w:rPr>
        <w:t>do</w:t>
      </w:r>
      <w:r>
        <w:rPr>
          <w:spacing w:val="-9"/>
          <w:sz w:val="22"/>
        </w:rPr>
        <w:t> </w:t>
      </w:r>
      <w:r>
        <w:rPr>
          <w:sz w:val="22"/>
        </w:rPr>
        <w:t>veículo</w:t>
      </w:r>
      <w:r>
        <w:rPr>
          <w:spacing w:val="-6"/>
          <w:sz w:val="22"/>
        </w:rPr>
        <w:t> </w:t>
      </w:r>
      <w:r>
        <w:rPr>
          <w:spacing w:val="-2"/>
          <w:sz w:val="22"/>
        </w:rPr>
        <w:t>afetado;</w:t>
      </w:r>
    </w:p>
    <w:p>
      <w:pPr>
        <w:pStyle w:val="ListParagraph"/>
        <w:numPr>
          <w:ilvl w:val="0"/>
          <w:numId w:val="2"/>
        </w:numPr>
        <w:tabs>
          <w:tab w:pos="801" w:val="left" w:leader="none"/>
        </w:tabs>
        <w:spacing w:line="240" w:lineRule="auto" w:before="183" w:after="0"/>
        <w:ind w:left="801" w:right="0" w:hanging="235"/>
        <w:jc w:val="left"/>
        <w:rPr>
          <w:sz w:val="22"/>
        </w:rPr>
      </w:pPr>
      <w:r>
        <w:rPr>
          <w:sz w:val="22"/>
        </w:rPr>
        <w:t>o</w:t>
      </w:r>
      <w:r>
        <w:rPr>
          <w:spacing w:val="-9"/>
          <w:sz w:val="22"/>
        </w:rPr>
        <w:t> </w:t>
      </w:r>
      <w:r>
        <w:rPr>
          <w:sz w:val="22"/>
        </w:rPr>
        <w:t>período</w:t>
      </w:r>
      <w:r>
        <w:rPr>
          <w:spacing w:val="-10"/>
          <w:sz w:val="22"/>
        </w:rPr>
        <w:t> </w:t>
      </w:r>
      <w:r>
        <w:rPr>
          <w:sz w:val="22"/>
        </w:rPr>
        <w:t>de</w:t>
      </w:r>
      <w:r>
        <w:rPr>
          <w:spacing w:val="-8"/>
          <w:sz w:val="22"/>
        </w:rPr>
        <w:t> </w:t>
      </w:r>
      <w:r>
        <w:rPr>
          <w:sz w:val="22"/>
        </w:rPr>
        <w:t>indisponibilidade</w:t>
      </w:r>
      <w:r>
        <w:rPr>
          <w:spacing w:val="-7"/>
          <w:sz w:val="22"/>
        </w:rPr>
        <w:t> </w:t>
      </w:r>
      <w:r>
        <w:rPr>
          <w:sz w:val="22"/>
        </w:rPr>
        <w:t>ou</w:t>
      </w:r>
      <w:r>
        <w:rPr>
          <w:spacing w:val="-9"/>
          <w:sz w:val="22"/>
        </w:rPr>
        <w:t> </w:t>
      </w:r>
      <w:r>
        <w:rPr>
          <w:spacing w:val="-2"/>
          <w:sz w:val="22"/>
        </w:rPr>
        <w:t>desconformidade;</w:t>
      </w:r>
    </w:p>
    <w:p>
      <w:pPr>
        <w:pStyle w:val="ListParagraph"/>
        <w:numPr>
          <w:ilvl w:val="0"/>
          <w:numId w:val="2"/>
        </w:numPr>
        <w:tabs>
          <w:tab w:pos="771" w:val="left" w:leader="none"/>
        </w:tabs>
        <w:spacing w:line="240" w:lineRule="auto" w:before="178" w:after="0"/>
        <w:ind w:left="771" w:right="0" w:hanging="205"/>
        <w:jc w:val="left"/>
        <w:rPr>
          <w:sz w:val="22"/>
        </w:rPr>
      </w:pPr>
      <w:r>
        <w:rPr>
          <w:sz w:val="22"/>
        </w:rPr>
        <w:t>a</w:t>
      </w:r>
      <w:r>
        <w:rPr>
          <w:spacing w:val="-9"/>
          <w:sz w:val="22"/>
        </w:rPr>
        <w:t> </w:t>
      </w:r>
      <w:r>
        <w:rPr>
          <w:sz w:val="22"/>
        </w:rPr>
        <w:t>quantidade</w:t>
      </w:r>
      <w:r>
        <w:rPr>
          <w:spacing w:val="-8"/>
          <w:sz w:val="22"/>
        </w:rPr>
        <w:t> </w:t>
      </w:r>
      <w:r>
        <w:rPr>
          <w:sz w:val="22"/>
        </w:rPr>
        <w:t>de</w:t>
      </w:r>
      <w:r>
        <w:rPr>
          <w:spacing w:val="-9"/>
          <w:sz w:val="22"/>
        </w:rPr>
        <w:t> </w:t>
      </w:r>
      <w:r>
        <w:rPr>
          <w:sz w:val="22"/>
        </w:rPr>
        <w:t>veículos</w:t>
      </w:r>
      <w:r>
        <w:rPr>
          <w:spacing w:val="-8"/>
          <w:sz w:val="22"/>
        </w:rPr>
        <w:t> </w:t>
      </w:r>
      <w:r>
        <w:rPr>
          <w:spacing w:val="-2"/>
          <w:sz w:val="22"/>
        </w:rPr>
        <w:t>impactados;</w:t>
      </w:r>
    </w:p>
    <w:p>
      <w:pPr>
        <w:pStyle w:val="ListParagraph"/>
        <w:numPr>
          <w:ilvl w:val="0"/>
          <w:numId w:val="2"/>
        </w:numPr>
        <w:tabs>
          <w:tab w:pos="801" w:val="left" w:leader="none"/>
        </w:tabs>
        <w:spacing w:line="240" w:lineRule="auto" w:before="182" w:after="0"/>
        <w:ind w:left="801" w:right="0" w:hanging="235"/>
        <w:jc w:val="left"/>
        <w:rPr>
          <w:sz w:val="22"/>
        </w:rPr>
      </w:pPr>
      <w:r>
        <w:rPr>
          <w:sz w:val="22"/>
        </w:rPr>
        <w:t>a</w:t>
      </w:r>
      <w:r>
        <w:rPr>
          <w:spacing w:val="-9"/>
          <w:sz w:val="22"/>
        </w:rPr>
        <w:t> </w:t>
      </w:r>
      <w:r>
        <w:rPr>
          <w:sz w:val="22"/>
        </w:rPr>
        <w:t>gravidade</w:t>
      </w:r>
      <w:r>
        <w:rPr>
          <w:spacing w:val="-7"/>
          <w:sz w:val="22"/>
        </w:rPr>
        <w:t> </w:t>
      </w:r>
      <w:r>
        <w:rPr>
          <w:sz w:val="22"/>
        </w:rPr>
        <w:t>da</w:t>
      </w:r>
      <w:r>
        <w:rPr>
          <w:spacing w:val="-8"/>
          <w:sz w:val="22"/>
        </w:rPr>
        <w:t> </w:t>
      </w:r>
      <w:r>
        <w:rPr>
          <w:spacing w:val="-2"/>
          <w:sz w:val="22"/>
        </w:rPr>
        <w:t>ocorrência;</w:t>
      </w:r>
    </w:p>
    <w:p>
      <w:pPr>
        <w:pStyle w:val="ListParagraph"/>
        <w:numPr>
          <w:ilvl w:val="0"/>
          <w:numId w:val="2"/>
        </w:numPr>
        <w:tabs>
          <w:tab w:pos="790" w:val="left" w:leader="none"/>
        </w:tabs>
        <w:spacing w:line="240" w:lineRule="auto" w:before="183" w:after="0"/>
        <w:ind w:left="790" w:right="0" w:hanging="224"/>
        <w:jc w:val="left"/>
        <w:rPr>
          <w:sz w:val="22"/>
        </w:rPr>
      </w:pPr>
      <w:r>
        <w:rPr>
          <w:sz w:val="22"/>
        </w:rPr>
        <w:t>a</w:t>
      </w:r>
      <w:r>
        <w:rPr>
          <w:spacing w:val="-10"/>
          <w:sz w:val="22"/>
        </w:rPr>
        <w:t> </w:t>
      </w:r>
      <w:r>
        <w:rPr>
          <w:sz w:val="22"/>
        </w:rPr>
        <w:t>reincidência</w:t>
      </w:r>
      <w:r>
        <w:rPr>
          <w:spacing w:val="-7"/>
          <w:sz w:val="22"/>
        </w:rPr>
        <w:t> </w:t>
      </w:r>
      <w:r>
        <w:rPr>
          <w:sz w:val="22"/>
        </w:rPr>
        <w:t>da</w:t>
      </w:r>
      <w:r>
        <w:rPr>
          <w:spacing w:val="-6"/>
          <w:sz w:val="22"/>
        </w:rPr>
        <w:t> </w:t>
      </w:r>
      <w:r>
        <w:rPr>
          <w:spacing w:val="-2"/>
          <w:sz w:val="22"/>
        </w:rPr>
        <w:t>falha;</w:t>
      </w:r>
    </w:p>
    <w:p>
      <w:pPr>
        <w:pStyle w:val="ListParagraph"/>
        <w:numPr>
          <w:ilvl w:val="0"/>
          <w:numId w:val="2"/>
        </w:numPr>
        <w:tabs>
          <w:tab w:pos="751" w:val="left" w:leader="none"/>
        </w:tabs>
        <w:spacing w:line="240" w:lineRule="auto" w:before="182" w:after="0"/>
        <w:ind w:left="751" w:right="0" w:hanging="185"/>
        <w:jc w:val="left"/>
        <w:rPr>
          <w:sz w:val="22"/>
        </w:rPr>
      </w:pPr>
      <w:r>
        <w:rPr>
          <w:sz w:val="22"/>
        </w:rPr>
        <w:t>o</w:t>
      </w:r>
      <w:r>
        <w:rPr>
          <w:spacing w:val="-11"/>
          <w:sz w:val="22"/>
        </w:rPr>
        <w:t> </w:t>
      </w:r>
      <w:r>
        <w:rPr>
          <w:sz w:val="22"/>
        </w:rPr>
        <w:t>impacto</w:t>
      </w:r>
      <w:r>
        <w:rPr>
          <w:spacing w:val="-10"/>
          <w:sz w:val="22"/>
        </w:rPr>
        <w:t> </w:t>
      </w:r>
      <w:r>
        <w:rPr>
          <w:sz w:val="22"/>
        </w:rPr>
        <w:t>causado</w:t>
      </w:r>
      <w:r>
        <w:rPr>
          <w:spacing w:val="-7"/>
          <w:sz w:val="22"/>
        </w:rPr>
        <w:t> </w:t>
      </w:r>
      <w:r>
        <w:rPr>
          <w:sz w:val="22"/>
        </w:rPr>
        <w:t>à</w:t>
      </w:r>
      <w:r>
        <w:rPr>
          <w:spacing w:val="-12"/>
          <w:sz w:val="22"/>
        </w:rPr>
        <w:t> </w:t>
      </w:r>
      <w:r>
        <w:rPr>
          <w:sz w:val="22"/>
        </w:rPr>
        <w:t>continuidade</w:t>
      </w:r>
      <w:r>
        <w:rPr>
          <w:spacing w:val="-11"/>
          <w:sz w:val="22"/>
        </w:rPr>
        <w:t> </w:t>
      </w:r>
      <w:r>
        <w:rPr>
          <w:sz w:val="22"/>
        </w:rPr>
        <w:t>do</w:t>
      </w:r>
      <w:r>
        <w:rPr>
          <w:spacing w:val="-10"/>
          <w:sz w:val="22"/>
        </w:rPr>
        <w:t> </w:t>
      </w:r>
      <w:r>
        <w:rPr>
          <w:spacing w:val="-2"/>
          <w:sz w:val="22"/>
        </w:rPr>
        <w:t>serviço.</w:t>
      </w:r>
    </w:p>
    <w:p>
      <w:pPr>
        <w:pStyle w:val="ListParagraph"/>
        <w:numPr>
          <w:ilvl w:val="1"/>
          <w:numId w:val="1"/>
        </w:numPr>
        <w:tabs>
          <w:tab w:pos="948" w:val="left" w:leader="none"/>
        </w:tabs>
        <w:spacing w:line="240" w:lineRule="auto" w:before="179" w:after="0"/>
        <w:ind w:left="948" w:right="0" w:hanging="382"/>
        <w:jc w:val="left"/>
        <w:rPr>
          <w:sz w:val="22"/>
        </w:rPr>
      </w:pPr>
      <w:r>
        <w:rPr>
          <w:spacing w:val="-2"/>
          <w:sz w:val="22"/>
        </w:rPr>
        <w:t>Para</w:t>
      </w:r>
      <w:r>
        <w:rPr>
          <w:sz w:val="22"/>
        </w:rPr>
        <w:t> </w:t>
      </w:r>
      <w:r>
        <w:rPr>
          <w:spacing w:val="-2"/>
          <w:sz w:val="22"/>
        </w:rPr>
        <w:t>fins</w:t>
      </w:r>
      <w:r>
        <w:rPr>
          <w:spacing w:val="-3"/>
          <w:sz w:val="22"/>
        </w:rPr>
        <w:t> </w:t>
      </w:r>
      <w:r>
        <w:rPr>
          <w:spacing w:val="-2"/>
          <w:sz w:val="22"/>
        </w:rPr>
        <w:t>deste</w:t>
      </w:r>
      <w:r>
        <w:rPr>
          <w:spacing w:val="-1"/>
          <w:sz w:val="22"/>
        </w:rPr>
        <w:t> </w:t>
      </w:r>
      <w:r>
        <w:rPr>
          <w:spacing w:val="-2"/>
          <w:sz w:val="22"/>
        </w:rPr>
        <w:t>IMR,</w:t>
      </w:r>
      <w:r>
        <w:rPr>
          <w:sz w:val="22"/>
        </w:rPr>
        <w:t> </w:t>
      </w:r>
      <w:r>
        <w:rPr>
          <w:spacing w:val="-2"/>
          <w:sz w:val="22"/>
        </w:rPr>
        <w:t>considera-</w:t>
      </w:r>
      <w:r>
        <w:rPr>
          <w:spacing w:val="-5"/>
          <w:sz w:val="22"/>
        </w:rPr>
        <w:t>se:</w:t>
      </w:r>
    </w:p>
    <w:p>
      <w:pPr>
        <w:pStyle w:val="BodyText"/>
        <w:spacing w:before="183"/>
      </w:pPr>
      <w:r>
        <w:rPr>
          <w:b/>
        </w:rPr>
        <w:t>VMV</w:t>
      </w:r>
      <w:r>
        <w:rPr>
          <w:b/>
          <w:spacing w:val="-15"/>
        </w:rPr>
        <w:t> </w:t>
      </w:r>
      <w:r>
        <w:rPr/>
        <w:t>—</w:t>
      </w:r>
      <w:r>
        <w:rPr>
          <w:spacing w:val="-13"/>
        </w:rPr>
        <w:t> </w:t>
      </w:r>
      <w:r>
        <w:rPr/>
        <w:t>Valor</w:t>
      </w:r>
      <w:r>
        <w:rPr>
          <w:spacing w:val="-12"/>
        </w:rPr>
        <w:t> </w:t>
      </w:r>
      <w:r>
        <w:rPr/>
        <w:t>Mensal</w:t>
      </w:r>
      <w:r>
        <w:rPr>
          <w:spacing w:val="-13"/>
        </w:rPr>
        <w:t> </w:t>
      </w:r>
      <w:r>
        <w:rPr/>
        <w:t>do</w:t>
      </w:r>
      <w:r>
        <w:rPr>
          <w:spacing w:val="-12"/>
        </w:rPr>
        <w:t> </w:t>
      </w:r>
      <w:r>
        <w:rPr/>
        <w:t>Veículo:</w:t>
      </w:r>
      <w:r>
        <w:rPr>
          <w:spacing w:val="-13"/>
        </w:rPr>
        <w:t> </w:t>
      </w:r>
      <w:r>
        <w:rPr/>
        <w:t>valor</w:t>
      </w:r>
      <w:r>
        <w:rPr>
          <w:spacing w:val="-12"/>
        </w:rPr>
        <w:t> </w:t>
      </w:r>
      <w:r>
        <w:rPr/>
        <w:t>mensal</w:t>
      </w:r>
      <w:r>
        <w:rPr>
          <w:spacing w:val="-12"/>
        </w:rPr>
        <w:t> </w:t>
      </w:r>
      <w:r>
        <w:rPr/>
        <w:t>unitário</w:t>
      </w:r>
      <w:r>
        <w:rPr>
          <w:spacing w:val="-13"/>
        </w:rPr>
        <w:t> </w:t>
      </w:r>
      <w:r>
        <w:rPr/>
        <w:t>contratado</w:t>
      </w:r>
      <w:r>
        <w:rPr>
          <w:spacing w:val="-11"/>
        </w:rPr>
        <w:t> </w:t>
      </w:r>
      <w:r>
        <w:rPr/>
        <w:t>para</w:t>
      </w:r>
      <w:r>
        <w:rPr>
          <w:spacing w:val="-11"/>
        </w:rPr>
        <w:t> </w:t>
      </w:r>
      <w:r>
        <w:rPr/>
        <w:t>o</w:t>
      </w:r>
      <w:r>
        <w:rPr>
          <w:spacing w:val="-9"/>
        </w:rPr>
        <w:t> </w:t>
      </w:r>
      <w:r>
        <w:rPr/>
        <w:t>veículo/item</w:t>
      </w:r>
      <w:r>
        <w:rPr>
          <w:spacing w:val="-10"/>
        </w:rPr>
        <w:t> </w:t>
      </w:r>
      <w:r>
        <w:rPr>
          <w:spacing w:val="-2"/>
        </w:rPr>
        <w:t>afetado;</w:t>
      </w:r>
    </w:p>
    <w:p>
      <w:pPr>
        <w:pStyle w:val="BodyText"/>
        <w:spacing w:before="182"/>
      </w:pPr>
      <w:r>
        <w:rPr>
          <w:b/>
        </w:rPr>
        <w:t>VMD</w:t>
      </w:r>
      <w:r>
        <w:rPr>
          <w:b/>
          <w:spacing w:val="-11"/>
        </w:rPr>
        <w:t> </w:t>
      </w:r>
      <w:r>
        <w:rPr/>
        <w:t>—</w:t>
      </w:r>
      <w:r>
        <w:rPr>
          <w:spacing w:val="-7"/>
        </w:rPr>
        <w:t> </w:t>
      </w:r>
      <w:r>
        <w:rPr/>
        <w:t>Valor</w:t>
      </w:r>
      <w:r>
        <w:rPr>
          <w:spacing w:val="-9"/>
        </w:rPr>
        <w:t> </w:t>
      </w:r>
      <w:r>
        <w:rPr/>
        <w:t>Mensal</w:t>
      </w:r>
      <w:r>
        <w:rPr>
          <w:spacing w:val="-8"/>
        </w:rPr>
        <w:t> </w:t>
      </w:r>
      <w:r>
        <w:rPr/>
        <w:t>Diário:</w:t>
      </w:r>
      <w:r>
        <w:rPr>
          <w:spacing w:val="-8"/>
        </w:rPr>
        <w:t> </w:t>
      </w:r>
      <w:r>
        <w:rPr/>
        <w:t>VMV</w:t>
      </w:r>
      <w:r>
        <w:rPr>
          <w:spacing w:val="-9"/>
        </w:rPr>
        <w:t> </w:t>
      </w:r>
      <w:r>
        <w:rPr/>
        <w:t>dividido</w:t>
      </w:r>
      <w:r>
        <w:rPr>
          <w:spacing w:val="-8"/>
        </w:rPr>
        <w:t> </w:t>
      </w:r>
      <w:r>
        <w:rPr/>
        <w:t>por</w:t>
      </w:r>
      <w:r>
        <w:rPr>
          <w:spacing w:val="-8"/>
        </w:rPr>
        <w:t> </w:t>
      </w:r>
      <w:r>
        <w:rPr>
          <w:spacing w:val="-5"/>
        </w:rPr>
        <w:t>30;</w:t>
      </w:r>
    </w:p>
    <w:p>
      <w:pPr>
        <w:pStyle w:val="BodyText"/>
        <w:spacing w:before="178"/>
      </w:pPr>
      <w:r>
        <w:rPr>
          <w:b/>
        </w:rPr>
        <w:t>VHH</w:t>
      </w:r>
      <w:r>
        <w:rPr>
          <w:b/>
          <w:spacing w:val="-11"/>
        </w:rPr>
        <w:t> </w:t>
      </w:r>
      <w:r>
        <w:rPr/>
        <w:t>—</w:t>
      </w:r>
      <w:r>
        <w:rPr>
          <w:spacing w:val="-7"/>
        </w:rPr>
        <w:t> </w:t>
      </w:r>
      <w:r>
        <w:rPr/>
        <w:t>Valor</w:t>
      </w:r>
      <w:r>
        <w:rPr>
          <w:spacing w:val="-12"/>
        </w:rPr>
        <w:t> </w:t>
      </w:r>
      <w:r>
        <w:rPr/>
        <w:t>Hora</w:t>
      </w:r>
      <w:r>
        <w:rPr>
          <w:spacing w:val="-9"/>
        </w:rPr>
        <w:t> </w:t>
      </w:r>
      <w:r>
        <w:rPr/>
        <w:t>do</w:t>
      </w:r>
      <w:r>
        <w:rPr>
          <w:spacing w:val="-8"/>
        </w:rPr>
        <w:t> </w:t>
      </w:r>
      <w:r>
        <w:rPr/>
        <w:t>Veículo:</w:t>
      </w:r>
      <w:r>
        <w:rPr>
          <w:spacing w:val="-9"/>
        </w:rPr>
        <w:t> </w:t>
      </w:r>
      <w:r>
        <w:rPr/>
        <w:t>VMD</w:t>
      </w:r>
      <w:r>
        <w:rPr>
          <w:spacing w:val="-10"/>
        </w:rPr>
        <w:t> </w:t>
      </w:r>
      <w:r>
        <w:rPr/>
        <w:t>dividido</w:t>
      </w:r>
      <w:r>
        <w:rPr>
          <w:spacing w:val="-10"/>
        </w:rPr>
        <w:t> </w:t>
      </w:r>
      <w:r>
        <w:rPr/>
        <w:t>por</w:t>
      </w:r>
      <w:r>
        <w:rPr>
          <w:spacing w:val="-11"/>
        </w:rPr>
        <w:t> </w:t>
      </w:r>
      <w:r>
        <w:rPr>
          <w:spacing w:val="-5"/>
        </w:rPr>
        <w:t>24;</w:t>
      </w:r>
    </w:p>
    <w:p>
      <w:pPr>
        <w:pStyle w:val="BodyText"/>
        <w:spacing w:line="261" w:lineRule="auto" w:before="39"/>
        <w:ind w:right="504"/>
      </w:pPr>
      <w:r>
        <w:rPr>
          <w:b/>
        </w:rPr>
        <w:t>GO</w:t>
      </w:r>
      <w:r>
        <w:rPr>
          <w:b/>
          <w:spacing w:val="-6"/>
        </w:rPr>
        <w:t> </w:t>
      </w:r>
      <w:r>
        <w:rPr/>
        <w:t>—</w:t>
      </w:r>
      <w:r>
        <w:rPr>
          <w:spacing w:val="38"/>
        </w:rPr>
        <w:t> </w:t>
      </w:r>
      <w:r>
        <w:rPr/>
        <w:t>Glosa</w:t>
      </w:r>
      <w:r>
        <w:rPr>
          <w:spacing w:val="36"/>
        </w:rPr>
        <w:t> </w:t>
      </w:r>
      <w:r>
        <w:rPr/>
        <w:t>por</w:t>
      </w:r>
      <w:r>
        <w:rPr>
          <w:spacing w:val="36"/>
        </w:rPr>
        <w:t> </w:t>
      </w:r>
      <w:r>
        <w:rPr/>
        <w:t>Ocorrência:</w:t>
      </w:r>
      <w:r>
        <w:rPr>
          <w:spacing w:val="39"/>
        </w:rPr>
        <w:t> </w:t>
      </w:r>
      <w:r>
        <w:rPr/>
        <w:t>desconto</w:t>
      </w:r>
      <w:r>
        <w:rPr>
          <w:spacing w:val="38"/>
        </w:rPr>
        <w:t> </w:t>
      </w:r>
      <w:r>
        <w:rPr/>
        <w:t>aplicado</w:t>
      </w:r>
      <w:r>
        <w:rPr>
          <w:spacing w:val="38"/>
        </w:rPr>
        <w:t> </w:t>
      </w:r>
      <w:r>
        <w:rPr/>
        <w:t>em</w:t>
      </w:r>
      <w:r>
        <w:rPr>
          <w:spacing w:val="35"/>
        </w:rPr>
        <w:t> </w:t>
      </w:r>
      <w:r>
        <w:rPr/>
        <w:t>razão</w:t>
      </w:r>
      <w:r>
        <w:rPr>
          <w:spacing w:val="39"/>
        </w:rPr>
        <w:t> </w:t>
      </w:r>
      <w:r>
        <w:rPr/>
        <w:t>de</w:t>
      </w:r>
      <w:r>
        <w:rPr>
          <w:spacing w:val="36"/>
        </w:rPr>
        <w:t> </w:t>
      </w:r>
      <w:r>
        <w:rPr/>
        <w:t>descumprimento</w:t>
      </w:r>
      <w:r>
        <w:rPr>
          <w:spacing w:val="38"/>
        </w:rPr>
        <w:t> </w:t>
      </w:r>
      <w:r>
        <w:rPr/>
        <w:t>específico, conforme critérios deste anexo.</w:t>
      </w:r>
    </w:p>
    <w:p>
      <w:pPr>
        <w:pStyle w:val="ListParagraph"/>
        <w:numPr>
          <w:ilvl w:val="1"/>
          <w:numId w:val="1"/>
        </w:numPr>
        <w:tabs>
          <w:tab w:pos="948" w:val="left" w:leader="none"/>
        </w:tabs>
        <w:spacing w:line="259" w:lineRule="auto" w:before="153" w:after="0"/>
        <w:ind w:left="566" w:right="1127" w:firstLine="0"/>
        <w:jc w:val="both"/>
        <w:rPr>
          <w:sz w:val="22"/>
        </w:rPr>
      </w:pPr>
      <w:r>
        <w:rPr>
          <w:sz w:val="22"/>
        </w:rPr>
        <w:t>Quando a falha ocasionar indisponibilidade total do veículo, deverá ser priorizada a glosa proporcional</w:t>
      </w:r>
      <w:r>
        <w:rPr>
          <w:spacing w:val="-5"/>
          <w:sz w:val="22"/>
        </w:rPr>
        <w:t> </w:t>
      </w:r>
      <w:r>
        <w:rPr>
          <w:sz w:val="22"/>
        </w:rPr>
        <w:t>ao</w:t>
      </w:r>
      <w:r>
        <w:rPr>
          <w:spacing w:val="-6"/>
          <w:sz w:val="22"/>
        </w:rPr>
        <w:t> </w:t>
      </w:r>
      <w:r>
        <w:rPr>
          <w:sz w:val="22"/>
        </w:rPr>
        <w:t>período</w:t>
      </w:r>
      <w:r>
        <w:rPr>
          <w:spacing w:val="-6"/>
          <w:sz w:val="22"/>
        </w:rPr>
        <w:t> </w:t>
      </w:r>
      <w:r>
        <w:rPr>
          <w:sz w:val="22"/>
        </w:rPr>
        <w:t>de</w:t>
      </w:r>
      <w:r>
        <w:rPr>
          <w:spacing w:val="-7"/>
          <w:sz w:val="22"/>
        </w:rPr>
        <w:t> </w:t>
      </w:r>
      <w:r>
        <w:rPr>
          <w:sz w:val="22"/>
        </w:rPr>
        <w:t>indisponibilidade,</w:t>
      </w:r>
      <w:r>
        <w:rPr>
          <w:spacing w:val="-6"/>
          <w:sz w:val="22"/>
        </w:rPr>
        <w:t> </w:t>
      </w:r>
      <w:r>
        <w:rPr>
          <w:sz w:val="22"/>
        </w:rPr>
        <w:t>evitando-se</w:t>
      </w:r>
      <w:r>
        <w:rPr>
          <w:spacing w:val="-7"/>
          <w:sz w:val="22"/>
        </w:rPr>
        <w:t> </w:t>
      </w:r>
      <w:r>
        <w:rPr>
          <w:sz w:val="22"/>
        </w:rPr>
        <w:t>duplicidade</w:t>
      </w:r>
      <w:r>
        <w:rPr>
          <w:spacing w:val="-4"/>
          <w:sz w:val="22"/>
        </w:rPr>
        <w:t> </w:t>
      </w:r>
      <w:r>
        <w:rPr>
          <w:sz w:val="22"/>
        </w:rPr>
        <w:t>de</w:t>
      </w:r>
      <w:r>
        <w:rPr>
          <w:spacing w:val="-7"/>
          <w:sz w:val="22"/>
        </w:rPr>
        <w:t> </w:t>
      </w:r>
      <w:r>
        <w:rPr>
          <w:sz w:val="22"/>
        </w:rPr>
        <w:t>desconto</w:t>
      </w:r>
      <w:r>
        <w:rPr>
          <w:spacing w:val="-6"/>
          <w:sz w:val="22"/>
        </w:rPr>
        <w:t> </w:t>
      </w:r>
      <w:r>
        <w:rPr>
          <w:sz w:val="22"/>
        </w:rPr>
        <w:t>pela</w:t>
      </w:r>
      <w:r>
        <w:rPr>
          <w:spacing w:val="-10"/>
          <w:sz w:val="22"/>
        </w:rPr>
        <w:t> </w:t>
      </w:r>
      <w:r>
        <w:rPr>
          <w:sz w:val="22"/>
        </w:rPr>
        <w:t>mesma </w:t>
      </w:r>
      <w:r>
        <w:rPr>
          <w:spacing w:val="-2"/>
          <w:sz w:val="22"/>
        </w:rPr>
        <w:t>ocorrência.</w:t>
      </w:r>
    </w:p>
    <w:p>
      <w:pPr>
        <w:pStyle w:val="ListParagraph"/>
        <w:spacing w:after="0" w:line="259" w:lineRule="auto"/>
        <w:jc w:val="both"/>
        <w:rPr>
          <w:sz w:val="22"/>
        </w:rPr>
        <w:sectPr>
          <w:type w:val="continuous"/>
          <w:pgSz w:w="11920" w:h="16850"/>
          <w:pgMar w:top="1140" w:bottom="280" w:left="1133" w:right="566"/>
        </w:sectPr>
      </w:pPr>
    </w:p>
    <w:p>
      <w:pPr>
        <w:pStyle w:val="ListParagraph"/>
        <w:numPr>
          <w:ilvl w:val="1"/>
          <w:numId w:val="1"/>
        </w:numPr>
        <w:tabs>
          <w:tab w:pos="948" w:val="left" w:leader="none"/>
        </w:tabs>
        <w:spacing w:line="259" w:lineRule="auto" w:before="33" w:after="0"/>
        <w:ind w:left="566" w:right="1125" w:firstLine="0"/>
        <w:jc w:val="both"/>
        <w:rPr>
          <w:sz w:val="22"/>
        </w:rPr>
      </w:pPr>
      <w:r>
        <w:rPr>
          <w:sz w:val="22"/>
        </w:rPr>
        <w:t>Quando a ocorrência afetar apenas parte do objeto, a glosa deverá incidir apenas sobre o veículo, item, obrigação ou período afetado, evitando-se desconto sobre parcela regularmente </w:t>
      </w:r>
      <w:r>
        <w:rPr>
          <w:spacing w:val="-2"/>
          <w:sz w:val="22"/>
        </w:rPr>
        <w:t>executada.</w:t>
      </w:r>
    </w:p>
    <w:p>
      <w:pPr>
        <w:pStyle w:val="ListParagraph"/>
        <w:numPr>
          <w:ilvl w:val="1"/>
          <w:numId w:val="1"/>
        </w:numPr>
        <w:tabs>
          <w:tab w:pos="952" w:val="left" w:leader="none"/>
        </w:tabs>
        <w:spacing w:line="259" w:lineRule="auto" w:before="156" w:after="0"/>
        <w:ind w:left="566" w:right="1124" w:firstLine="0"/>
        <w:jc w:val="both"/>
        <w:rPr>
          <w:sz w:val="22"/>
        </w:rPr>
      </w:pPr>
      <w:r>
        <w:rPr>
          <w:sz w:val="22"/>
        </w:rPr>
        <w:t>O limite de glosa mensal por veículo não poderá ultrapassar o valor mensal devido pelo respectivo veículo, sem prejuízo da aplicação de sanções administrativas, ressarcimento de prejuízos, execução de garantia contratual ou outras medidas cabíveis.</w:t>
      </w:r>
    </w:p>
    <w:p>
      <w:pPr>
        <w:pStyle w:val="ListParagraph"/>
        <w:numPr>
          <w:ilvl w:val="1"/>
          <w:numId w:val="1"/>
        </w:numPr>
        <w:tabs>
          <w:tab w:pos="948" w:val="left" w:leader="none"/>
        </w:tabs>
        <w:spacing w:line="256" w:lineRule="auto" w:before="161" w:after="0"/>
        <w:ind w:left="566" w:right="1125" w:firstLine="0"/>
        <w:jc w:val="both"/>
        <w:rPr>
          <w:sz w:val="22"/>
        </w:rPr>
      </w:pPr>
      <w:r>
        <w:rPr>
          <w:sz w:val="22"/>
        </w:rPr>
        <w:t>A aplicação de glosa deverá ser registrada pela fiscalização contratual, com indicação da ocorrência,</w:t>
      </w:r>
      <w:r>
        <w:rPr>
          <w:spacing w:val="-10"/>
          <w:sz w:val="22"/>
        </w:rPr>
        <w:t> </w:t>
      </w:r>
      <w:r>
        <w:rPr>
          <w:sz w:val="22"/>
        </w:rPr>
        <w:t>data,</w:t>
      </w:r>
      <w:r>
        <w:rPr>
          <w:spacing w:val="-10"/>
          <w:sz w:val="22"/>
        </w:rPr>
        <w:t> </w:t>
      </w:r>
      <w:r>
        <w:rPr>
          <w:sz w:val="22"/>
        </w:rPr>
        <w:t>veículo</w:t>
      </w:r>
      <w:r>
        <w:rPr>
          <w:spacing w:val="-6"/>
          <w:sz w:val="22"/>
        </w:rPr>
        <w:t> </w:t>
      </w:r>
      <w:r>
        <w:rPr>
          <w:sz w:val="22"/>
        </w:rPr>
        <w:t>afetado,</w:t>
      </w:r>
      <w:r>
        <w:rPr>
          <w:spacing w:val="-11"/>
          <w:sz w:val="22"/>
        </w:rPr>
        <w:t> </w:t>
      </w:r>
      <w:r>
        <w:rPr>
          <w:sz w:val="22"/>
        </w:rPr>
        <w:t>obrigação</w:t>
      </w:r>
      <w:r>
        <w:rPr>
          <w:spacing w:val="-8"/>
          <w:sz w:val="22"/>
        </w:rPr>
        <w:t> </w:t>
      </w:r>
      <w:r>
        <w:rPr>
          <w:sz w:val="22"/>
        </w:rPr>
        <w:t>descumprida,</w:t>
      </w:r>
      <w:r>
        <w:rPr>
          <w:spacing w:val="-10"/>
          <w:sz w:val="22"/>
        </w:rPr>
        <w:t> </w:t>
      </w:r>
      <w:r>
        <w:rPr>
          <w:sz w:val="22"/>
        </w:rPr>
        <w:t>período</w:t>
      </w:r>
      <w:r>
        <w:rPr>
          <w:spacing w:val="-6"/>
          <w:sz w:val="22"/>
        </w:rPr>
        <w:t> </w:t>
      </w:r>
      <w:r>
        <w:rPr>
          <w:sz w:val="22"/>
        </w:rPr>
        <w:t>de</w:t>
      </w:r>
      <w:r>
        <w:rPr>
          <w:spacing w:val="-7"/>
          <w:sz w:val="22"/>
        </w:rPr>
        <w:t> </w:t>
      </w:r>
      <w:r>
        <w:rPr>
          <w:sz w:val="22"/>
        </w:rPr>
        <w:t>desconformidade,</w:t>
      </w:r>
      <w:r>
        <w:rPr>
          <w:spacing w:val="-9"/>
          <w:sz w:val="22"/>
        </w:rPr>
        <w:t> </w:t>
      </w:r>
      <w:r>
        <w:rPr>
          <w:sz w:val="22"/>
        </w:rPr>
        <w:t>cálculo utilizado e valor a ser descontado, assegurada a ciência da contratada.</w:t>
      </w:r>
    </w:p>
    <w:p>
      <w:pPr>
        <w:pStyle w:val="ListParagraph"/>
        <w:numPr>
          <w:ilvl w:val="1"/>
          <w:numId w:val="1"/>
        </w:numPr>
        <w:tabs>
          <w:tab w:pos="948" w:val="left" w:leader="none"/>
        </w:tabs>
        <w:spacing w:line="254" w:lineRule="auto" w:before="161" w:after="0"/>
        <w:ind w:left="566" w:right="1129" w:firstLine="0"/>
        <w:jc w:val="both"/>
        <w:rPr>
          <w:sz w:val="22"/>
        </w:rPr>
      </w:pPr>
      <w:r>
        <w:rPr>
          <w:sz w:val="22"/>
        </w:rPr>
        <w:t>Quando o quadro de indicadores estabelecer limite máximo de glosa, o percentual aplicável deverá observar a extensão e o impacto da ocorrência, conforme os seguintes </w:t>
      </w:r>
      <w:r>
        <w:rPr>
          <w:spacing w:val="-2"/>
          <w:sz w:val="22"/>
        </w:rPr>
        <w:t>critérios:</w:t>
      </w:r>
    </w:p>
    <w:p>
      <w:pPr>
        <w:pStyle w:val="BodyText"/>
        <w:spacing w:before="17"/>
        <w:ind w:left="0"/>
      </w:pPr>
    </w:p>
    <w:p>
      <w:pPr>
        <w:pStyle w:val="ListParagraph"/>
        <w:numPr>
          <w:ilvl w:val="0"/>
          <w:numId w:val="3"/>
        </w:numPr>
        <w:tabs>
          <w:tab w:pos="870" w:val="left" w:leader="none"/>
        </w:tabs>
        <w:spacing w:line="240" w:lineRule="auto" w:before="0" w:after="0"/>
        <w:ind w:left="643" w:right="1058" w:firstLine="0"/>
        <w:jc w:val="left"/>
        <w:rPr>
          <w:rFonts w:ascii="Times New Roman" w:hAnsi="Times New Roman"/>
          <w:sz w:val="22"/>
        </w:rPr>
      </w:pPr>
      <w:r>
        <w:rPr>
          <w:rFonts w:ascii="Times New Roman" w:hAnsi="Times New Roman"/>
          <w:sz w:val="22"/>
        </w:rPr>
        <w:t>falha</w:t>
      </w:r>
      <w:r>
        <w:rPr>
          <w:rFonts w:ascii="Times New Roman" w:hAnsi="Times New Roman"/>
          <w:spacing w:val="-2"/>
          <w:sz w:val="22"/>
        </w:rPr>
        <w:t> </w:t>
      </w:r>
      <w:r>
        <w:rPr>
          <w:rFonts w:ascii="Times New Roman" w:hAnsi="Times New Roman"/>
          <w:sz w:val="22"/>
        </w:rPr>
        <w:t>leve:</w:t>
      </w:r>
      <w:r>
        <w:rPr>
          <w:rFonts w:ascii="Times New Roman" w:hAnsi="Times New Roman"/>
          <w:spacing w:val="-1"/>
          <w:sz w:val="22"/>
        </w:rPr>
        <w:t> </w:t>
      </w:r>
      <w:r>
        <w:rPr>
          <w:rFonts w:ascii="Times New Roman" w:hAnsi="Times New Roman"/>
          <w:sz w:val="22"/>
        </w:rPr>
        <w:t>aplicação</w:t>
      </w:r>
      <w:r>
        <w:rPr>
          <w:rFonts w:ascii="Times New Roman" w:hAnsi="Times New Roman"/>
          <w:spacing w:val="-2"/>
          <w:sz w:val="22"/>
        </w:rPr>
        <w:t> </w:t>
      </w:r>
      <w:r>
        <w:rPr>
          <w:rFonts w:ascii="Times New Roman" w:hAnsi="Times New Roman"/>
          <w:sz w:val="22"/>
        </w:rPr>
        <w:t>de</w:t>
      </w:r>
      <w:r>
        <w:rPr>
          <w:rFonts w:ascii="Times New Roman" w:hAnsi="Times New Roman"/>
          <w:spacing w:val="-4"/>
          <w:sz w:val="22"/>
        </w:rPr>
        <w:t> </w:t>
      </w:r>
      <w:r>
        <w:rPr>
          <w:rFonts w:ascii="Times New Roman" w:hAnsi="Times New Roman"/>
          <w:sz w:val="22"/>
        </w:rPr>
        <w:t>25%</w:t>
      </w:r>
      <w:r>
        <w:rPr>
          <w:rFonts w:ascii="Times New Roman" w:hAnsi="Times New Roman"/>
          <w:spacing w:val="-4"/>
          <w:sz w:val="22"/>
        </w:rPr>
        <w:t> </w:t>
      </w:r>
      <w:r>
        <w:rPr>
          <w:rFonts w:ascii="Times New Roman" w:hAnsi="Times New Roman"/>
          <w:sz w:val="22"/>
        </w:rPr>
        <w:t>(vinte</w:t>
      </w:r>
      <w:r>
        <w:rPr>
          <w:rFonts w:ascii="Times New Roman" w:hAnsi="Times New Roman"/>
          <w:spacing w:val="-4"/>
          <w:sz w:val="22"/>
        </w:rPr>
        <w:t> </w:t>
      </w:r>
      <w:r>
        <w:rPr>
          <w:rFonts w:ascii="Times New Roman" w:hAnsi="Times New Roman"/>
          <w:sz w:val="22"/>
        </w:rPr>
        <w:t>e</w:t>
      </w:r>
      <w:r>
        <w:rPr>
          <w:rFonts w:ascii="Times New Roman" w:hAnsi="Times New Roman"/>
          <w:spacing w:val="-2"/>
          <w:sz w:val="22"/>
        </w:rPr>
        <w:t> </w:t>
      </w:r>
      <w:r>
        <w:rPr>
          <w:rFonts w:ascii="Times New Roman" w:hAnsi="Times New Roman"/>
          <w:sz w:val="22"/>
        </w:rPr>
        <w:t>cinco</w:t>
      </w:r>
      <w:r>
        <w:rPr>
          <w:rFonts w:ascii="Times New Roman" w:hAnsi="Times New Roman"/>
          <w:spacing w:val="-2"/>
          <w:sz w:val="22"/>
        </w:rPr>
        <w:t> </w:t>
      </w:r>
      <w:r>
        <w:rPr>
          <w:rFonts w:ascii="Times New Roman" w:hAnsi="Times New Roman"/>
          <w:sz w:val="22"/>
        </w:rPr>
        <w:t>por</w:t>
      </w:r>
      <w:r>
        <w:rPr>
          <w:rFonts w:ascii="Times New Roman" w:hAnsi="Times New Roman"/>
          <w:spacing w:val="-2"/>
          <w:sz w:val="22"/>
        </w:rPr>
        <w:t> </w:t>
      </w:r>
      <w:r>
        <w:rPr>
          <w:rFonts w:ascii="Times New Roman" w:hAnsi="Times New Roman"/>
          <w:sz w:val="22"/>
        </w:rPr>
        <w:t>cento)</w:t>
      </w:r>
      <w:r>
        <w:rPr>
          <w:rFonts w:ascii="Times New Roman" w:hAnsi="Times New Roman"/>
          <w:spacing w:val="-2"/>
          <w:sz w:val="22"/>
        </w:rPr>
        <w:t> </w:t>
      </w:r>
      <w:r>
        <w:rPr>
          <w:rFonts w:ascii="Times New Roman" w:hAnsi="Times New Roman"/>
          <w:sz w:val="22"/>
        </w:rPr>
        <w:t>do</w:t>
      </w:r>
      <w:r>
        <w:rPr>
          <w:rFonts w:ascii="Times New Roman" w:hAnsi="Times New Roman"/>
          <w:spacing w:val="-2"/>
          <w:sz w:val="22"/>
        </w:rPr>
        <w:t> </w:t>
      </w:r>
      <w:r>
        <w:rPr>
          <w:rFonts w:ascii="Times New Roman" w:hAnsi="Times New Roman"/>
          <w:sz w:val="22"/>
        </w:rPr>
        <w:t>percentual</w:t>
      </w:r>
      <w:r>
        <w:rPr>
          <w:rFonts w:ascii="Times New Roman" w:hAnsi="Times New Roman"/>
          <w:spacing w:val="-1"/>
          <w:sz w:val="22"/>
        </w:rPr>
        <w:t> </w:t>
      </w:r>
      <w:r>
        <w:rPr>
          <w:rFonts w:ascii="Times New Roman" w:hAnsi="Times New Roman"/>
          <w:sz w:val="22"/>
        </w:rPr>
        <w:t>máximo previsto,</w:t>
      </w:r>
      <w:r>
        <w:rPr>
          <w:rFonts w:ascii="Times New Roman" w:hAnsi="Times New Roman"/>
          <w:spacing w:val="-2"/>
          <w:sz w:val="22"/>
        </w:rPr>
        <w:t> </w:t>
      </w:r>
      <w:r>
        <w:rPr>
          <w:rFonts w:ascii="Times New Roman" w:hAnsi="Times New Roman"/>
          <w:sz w:val="22"/>
        </w:rPr>
        <w:t>quando não houver interrupção do uso do veículo nem prejuízo relevante à rotina operacional;</w:t>
      </w:r>
    </w:p>
    <w:p>
      <w:pPr>
        <w:pStyle w:val="BodyText"/>
        <w:spacing w:before="26"/>
        <w:ind w:left="0"/>
        <w:rPr>
          <w:rFonts w:ascii="Times New Roman"/>
        </w:rPr>
      </w:pPr>
    </w:p>
    <w:p>
      <w:pPr>
        <w:pStyle w:val="ListParagraph"/>
        <w:numPr>
          <w:ilvl w:val="0"/>
          <w:numId w:val="3"/>
        </w:numPr>
        <w:tabs>
          <w:tab w:pos="881" w:val="left" w:leader="none"/>
        </w:tabs>
        <w:spacing w:line="242" w:lineRule="auto" w:before="0" w:after="0"/>
        <w:ind w:left="643" w:right="1066" w:firstLine="0"/>
        <w:jc w:val="left"/>
        <w:rPr>
          <w:rFonts w:ascii="Times New Roman" w:hAnsi="Times New Roman"/>
          <w:sz w:val="22"/>
        </w:rPr>
      </w:pPr>
      <w:r>
        <w:rPr>
          <w:rFonts w:ascii="Times New Roman" w:hAnsi="Times New Roman"/>
          <w:sz w:val="22"/>
        </w:rPr>
        <w:t>falha moderada: aplicação de 50% (cinquenta por cento) do percentual máximo previsto, quando</w:t>
      </w:r>
      <w:r>
        <w:rPr>
          <w:rFonts w:ascii="Times New Roman" w:hAnsi="Times New Roman"/>
          <w:spacing w:val="-2"/>
          <w:sz w:val="22"/>
        </w:rPr>
        <w:t> </w:t>
      </w:r>
      <w:r>
        <w:rPr>
          <w:rFonts w:ascii="Times New Roman" w:hAnsi="Times New Roman"/>
          <w:sz w:val="22"/>
        </w:rPr>
        <w:t>houver</w:t>
      </w:r>
      <w:r>
        <w:rPr>
          <w:rFonts w:ascii="Times New Roman" w:hAnsi="Times New Roman"/>
          <w:spacing w:val="-2"/>
          <w:sz w:val="22"/>
        </w:rPr>
        <w:t> </w:t>
      </w:r>
      <w:r>
        <w:rPr>
          <w:rFonts w:ascii="Times New Roman" w:hAnsi="Times New Roman"/>
          <w:sz w:val="22"/>
        </w:rPr>
        <w:t>comprometimento</w:t>
      </w:r>
      <w:r>
        <w:rPr>
          <w:rFonts w:ascii="Times New Roman" w:hAnsi="Times New Roman"/>
          <w:spacing w:val="-2"/>
          <w:sz w:val="22"/>
        </w:rPr>
        <w:t> </w:t>
      </w:r>
      <w:r>
        <w:rPr>
          <w:rFonts w:ascii="Times New Roman" w:hAnsi="Times New Roman"/>
          <w:sz w:val="22"/>
        </w:rPr>
        <w:t>parcial</w:t>
      </w:r>
      <w:r>
        <w:rPr>
          <w:rFonts w:ascii="Times New Roman" w:hAnsi="Times New Roman"/>
          <w:spacing w:val="-2"/>
          <w:sz w:val="22"/>
        </w:rPr>
        <w:t> </w:t>
      </w:r>
      <w:r>
        <w:rPr>
          <w:rFonts w:ascii="Times New Roman" w:hAnsi="Times New Roman"/>
          <w:sz w:val="22"/>
        </w:rPr>
        <w:t>da</w:t>
      </w:r>
      <w:r>
        <w:rPr>
          <w:rFonts w:ascii="Times New Roman" w:hAnsi="Times New Roman"/>
          <w:spacing w:val="-4"/>
          <w:sz w:val="22"/>
        </w:rPr>
        <w:t> </w:t>
      </w:r>
      <w:r>
        <w:rPr>
          <w:rFonts w:ascii="Times New Roman" w:hAnsi="Times New Roman"/>
          <w:sz w:val="22"/>
        </w:rPr>
        <w:t>execução</w:t>
      </w:r>
      <w:r>
        <w:rPr>
          <w:rFonts w:ascii="Times New Roman" w:hAnsi="Times New Roman"/>
          <w:spacing w:val="-5"/>
          <w:sz w:val="22"/>
        </w:rPr>
        <w:t> </w:t>
      </w:r>
      <w:r>
        <w:rPr>
          <w:rFonts w:ascii="Times New Roman" w:hAnsi="Times New Roman"/>
          <w:sz w:val="22"/>
        </w:rPr>
        <w:t>ou</w:t>
      </w:r>
      <w:r>
        <w:rPr>
          <w:rFonts w:ascii="Times New Roman" w:hAnsi="Times New Roman"/>
          <w:spacing w:val="-2"/>
          <w:sz w:val="22"/>
        </w:rPr>
        <w:t> </w:t>
      </w:r>
      <w:r>
        <w:rPr>
          <w:rFonts w:ascii="Times New Roman" w:hAnsi="Times New Roman"/>
          <w:sz w:val="22"/>
        </w:rPr>
        <w:t>necessidade de</w:t>
      </w:r>
      <w:r>
        <w:rPr>
          <w:rFonts w:ascii="Times New Roman" w:hAnsi="Times New Roman"/>
          <w:spacing w:val="-4"/>
          <w:sz w:val="22"/>
        </w:rPr>
        <w:t> </w:t>
      </w:r>
      <w:r>
        <w:rPr>
          <w:rFonts w:ascii="Times New Roman" w:hAnsi="Times New Roman"/>
          <w:sz w:val="22"/>
        </w:rPr>
        <w:t>atuação</w:t>
      </w:r>
      <w:r>
        <w:rPr>
          <w:rFonts w:ascii="Times New Roman" w:hAnsi="Times New Roman"/>
          <w:spacing w:val="-4"/>
          <w:sz w:val="22"/>
        </w:rPr>
        <w:t> </w:t>
      </w:r>
      <w:r>
        <w:rPr>
          <w:rFonts w:ascii="Times New Roman" w:hAnsi="Times New Roman"/>
          <w:sz w:val="22"/>
        </w:rPr>
        <w:t>da</w:t>
      </w:r>
      <w:r>
        <w:rPr>
          <w:rFonts w:ascii="Times New Roman" w:hAnsi="Times New Roman"/>
          <w:spacing w:val="-2"/>
          <w:sz w:val="22"/>
        </w:rPr>
        <w:t> </w:t>
      </w:r>
      <w:r>
        <w:rPr>
          <w:rFonts w:ascii="Times New Roman" w:hAnsi="Times New Roman"/>
          <w:sz w:val="22"/>
        </w:rPr>
        <w:t>fiscalização para regularização;</w:t>
      </w:r>
    </w:p>
    <w:p>
      <w:pPr>
        <w:pStyle w:val="BodyText"/>
        <w:spacing w:before="19"/>
        <w:ind w:left="0"/>
        <w:rPr>
          <w:rFonts w:ascii="Times New Roman"/>
        </w:rPr>
      </w:pPr>
    </w:p>
    <w:p>
      <w:pPr>
        <w:pStyle w:val="ListParagraph"/>
        <w:numPr>
          <w:ilvl w:val="0"/>
          <w:numId w:val="3"/>
        </w:numPr>
        <w:tabs>
          <w:tab w:pos="870" w:val="left" w:leader="none"/>
        </w:tabs>
        <w:spacing w:line="240" w:lineRule="auto" w:before="1" w:after="0"/>
        <w:ind w:left="643" w:right="1078" w:firstLine="0"/>
        <w:jc w:val="left"/>
        <w:rPr>
          <w:rFonts w:ascii="Times New Roman" w:hAnsi="Times New Roman"/>
          <w:sz w:val="22"/>
        </w:rPr>
      </w:pPr>
      <w:r>
        <w:rPr>
          <w:rFonts w:ascii="Times New Roman" w:hAnsi="Times New Roman"/>
          <w:sz w:val="22"/>
        </w:rPr>
        <w:t>falha grave: aplicação de 100% (cem por cento) do percentual máximo previsto, quando houver</w:t>
      </w:r>
      <w:r>
        <w:rPr>
          <w:rFonts w:ascii="Times New Roman" w:hAnsi="Times New Roman"/>
          <w:spacing w:val="-1"/>
          <w:sz w:val="22"/>
        </w:rPr>
        <w:t> </w:t>
      </w:r>
      <w:r>
        <w:rPr>
          <w:rFonts w:ascii="Times New Roman" w:hAnsi="Times New Roman"/>
          <w:sz w:val="22"/>
        </w:rPr>
        <w:t>reincidência,</w:t>
      </w:r>
      <w:r>
        <w:rPr>
          <w:rFonts w:ascii="Times New Roman" w:hAnsi="Times New Roman"/>
          <w:spacing w:val="-2"/>
          <w:sz w:val="22"/>
        </w:rPr>
        <w:t> </w:t>
      </w:r>
      <w:r>
        <w:rPr>
          <w:rFonts w:ascii="Times New Roman" w:hAnsi="Times New Roman"/>
          <w:sz w:val="22"/>
        </w:rPr>
        <w:t>risco</w:t>
      </w:r>
      <w:r>
        <w:rPr>
          <w:rFonts w:ascii="Times New Roman" w:hAnsi="Times New Roman"/>
          <w:spacing w:val="-2"/>
          <w:sz w:val="22"/>
        </w:rPr>
        <w:t> </w:t>
      </w:r>
      <w:r>
        <w:rPr>
          <w:rFonts w:ascii="Times New Roman" w:hAnsi="Times New Roman"/>
          <w:sz w:val="22"/>
        </w:rPr>
        <w:t>à</w:t>
      </w:r>
      <w:r>
        <w:rPr>
          <w:rFonts w:ascii="Times New Roman" w:hAnsi="Times New Roman"/>
          <w:spacing w:val="-4"/>
          <w:sz w:val="22"/>
        </w:rPr>
        <w:t> </w:t>
      </w:r>
      <w:r>
        <w:rPr>
          <w:rFonts w:ascii="Times New Roman" w:hAnsi="Times New Roman"/>
          <w:sz w:val="22"/>
        </w:rPr>
        <w:t>segurança,</w:t>
      </w:r>
      <w:r>
        <w:rPr>
          <w:rFonts w:ascii="Times New Roman" w:hAnsi="Times New Roman"/>
          <w:spacing w:val="-2"/>
          <w:sz w:val="22"/>
        </w:rPr>
        <w:t> </w:t>
      </w:r>
      <w:r>
        <w:rPr>
          <w:rFonts w:ascii="Times New Roman" w:hAnsi="Times New Roman"/>
          <w:sz w:val="22"/>
        </w:rPr>
        <w:t>interrupção</w:t>
      </w:r>
      <w:r>
        <w:rPr>
          <w:rFonts w:ascii="Times New Roman" w:hAnsi="Times New Roman"/>
          <w:spacing w:val="-5"/>
          <w:sz w:val="22"/>
        </w:rPr>
        <w:t> </w:t>
      </w:r>
      <w:r>
        <w:rPr>
          <w:rFonts w:ascii="Times New Roman" w:hAnsi="Times New Roman"/>
          <w:sz w:val="22"/>
        </w:rPr>
        <w:t>da</w:t>
      </w:r>
      <w:r>
        <w:rPr>
          <w:rFonts w:ascii="Times New Roman" w:hAnsi="Times New Roman"/>
          <w:spacing w:val="-4"/>
          <w:sz w:val="22"/>
        </w:rPr>
        <w:t> </w:t>
      </w:r>
      <w:r>
        <w:rPr>
          <w:rFonts w:ascii="Times New Roman" w:hAnsi="Times New Roman"/>
          <w:sz w:val="22"/>
        </w:rPr>
        <w:t>atividade,</w:t>
      </w:r>
      <w:r>
        <w:rPr>
          <w:rFonts w:ascii="Times New Roman" w:hAnsi="Times New Roman"/>
          <w:spacing w:val="-5"/>
          <w:sz w:val="22"/>
        </w:rPr>
        <w:t> </w:t>
      </w:r>
      <w:r>
        <w:rPr>
          <w:rFonts w:ascii="Times New Roman" w:hAnsi="Times New Roman"/>
          <w:sz w:val="22"/>
        </w:rPr>
        <w:t>indisponibilidade</w:t>
      </w:r>
      <w:r>
        <w:rPr>
          <w:rFonts w:ascii="Times New Roman" w:hAnsi="Times New Roman"/>
          <w:spacing w:val="-4"/>
          <w:sz w:val="22"/>
        </w:rPr>
        <w:t> </w:t>
      </w:r>
      <w:r>
        <w:rPr>
          <w:rFonts w:ascii="Times New Roman" w:hAnsi="Times New Roman"/>
          <w:sz w:val="22"/>
        </w:rPr>
        <w:t>do</w:t>
      </w:r>
      <w:r>
        <w:rPr>
          <w:rFonts w:ascii="Times New Roman" w:hAnsi="Times New Roman"/>
          <w:spacing w:val="-2"/>
          <w:sz w:val="22"/>
        </w:rPr>
        <w:t> </w:t>
      </w:r>
      <w:r>
        <w:rPr>
          <w:rFonts w:ascii="Times New Roman" w:hAnsi="Times New Roman"/>
          <w:sz w:val="22"/>
        </w:rPr>
        <w:t>veículo</w:t>
      </w:r>
      <w:r>
        <w:rPr>
          <w:rFonts w:ascii="Times New Roman" w:hAnsi="Times New Roman"/>
          <w:spacing w:val="-2"/>
          <w:sz w:val="22"/>
        </w:rPr>
        <w:t> </w:t>
      </w:r>
      <w:r>
        <w:rPr>
          <w:rFonts w:ascii="Times New Roman" w:hAnsi="Times New Roman"/>
          <w:sz w:val="22"/>
        </w:rPr>
        <w:t>ou prejuízo relevante à execução contratual.</w:t>
      </w:r>
    </w:p>
    <w:p>
      <w:pPr>
        <w:pStyle w:val="BodyText"/>
        <w:spacing w:before="27"/>
        <w:ind w:left="0"/>
        <w:rPr>
          <w:rFonts w:ascii="Times New Roman"/>
        </w:rPr>
      </w:pPr>
    </w:p>
    <w:p>
      <w:pPr>
        <w:pStyle w:val="ListParagraph"/>
        <w:numPr>
          <w:ilvl w:val="2"/>
          <w:numId w:val="1"/>
        </w:numPr>
        <w:tabs>
          <w:tab w:pos="1194" w:val="left" w:leader="none"/>
        </w:tabs>
        <w:spacing w:line="240" w:lineRule="auto" w:before="0" w:after="0"/>
        <w:ind w:left="643" w:right="1138" w:firstLine="0"/>
        <w:jc w:val="left"/>
        <w:rPr>
          <w:rFonts w:ascii="Times New Roman" w:hAnsi="Times New Roman"/>
          <w:sz w:val="22"/>
        </w:rPr>
      </w:pPr>
      <w:r>
        <w:rPr>
          <w:rFonts w:ascii="Times New Roman" w:hAnsi="Times New Roman"/>
          <w:sz w:val="22"/>
        </w:rPr>
        <w:t>A</w:t>
      </w:r>
      <w:r>
        <w:rPr>
          <w:rFonts w:ascii="Times New Roman" w:hAnsi="Times New Roman"/>
          <w:spacing w:val="-4"/>
          <w:sz w:val="22"/>
        </w:rPr>
        <w:t> </w:t>
      </w:r>
      <w:r>
        <w:rPr>
          <w:rFonts w:ascii="Times New Roman" w:hAnsi="Times New Roman"/>
          <w:sz w:val="22"/>
        </w:rPr>
        <w:t>classificação</w:t>
      </w:r>
      <w:r>
        <w:rPr>
          <w:rFonts w:ascii="Times New Roman" w:hAnsi="Times New Roman"/>
          <w:spacing w:val="-5"/>
          <w:sz w:val="22"/>
        </w:rPr>
        <w:t> </w:t>
      </w:r>
      <w:r>
        <w:rPr>
          <w:rFonts w:ascii="Times New Roman" w:hAnsi="Times New Roman"/>
          <w:sz w:val="22"/>
        </w:rPr>
        <w:t>da</w:t>
      </w:r>
      <w:r>
        <w:rPr>
          <w:rFonts w:ascii="Times New Roman" w:hAnsi="Times New Roman"/>
          <w:spacing w:val="-3"/>
          <w:sz w:val="22"/>
        </w:rPr>
        <w:t> </w:t>
      </w:r>
      <w:r>
        <w:rPr>
          <w:rFonts w:ascii="Times New Roman" w:hAnsi="Times New Roman"/>
          <w:sz w:val="22"/>
        </w:rPr>
        <w:t>ocorrência</w:t>
      </w:r>
      <w:r>
        <w:rPr>
          <w:rFonts w:ascii="Times New Roman" w:hAnsi="Times New Roman"/>
          <w:spacing w:val="-3"/>
          <w:sz w:val="22"/>
        </w:rPr>
        <w:t> </w:t>
      </w:r>
      <w:r>
        <w:rPr>
          <w:rFonts w:ascii="Times New Roman" w:hAnsi="Times New Roman"/>
          <w:sz w:val="22"/>
        </w:rPr>
        <w:t>e</w:t>
      </w:r>
      <w:r>
        <w:rPr>
          <w:rFonts w:ascii="Times New Roman" w:hAnsi="Times New Roman"/>
          <w:spacing w:val="-3"/>
          <w:sz w:val="22"/>
        </w:rPr>
        <w:t> </w:t>
      </w:r>
      <w:r>
        <w:rPr>
          <w:rFonts w:ascii="Times New Roman" w:hAnsi="Times New Roman"/>
          <w:sz w:val="22"/>
        </w:rPr>
        <w:t>o</w:t>
      </w:r>
      <w:r>
        <w:rPr>
          <w:rFonts w:ascii="Times New Roman" w:hAnsi="Times New Roman"/>
          <w:spacing w:val="-5"/>
          <w:sz w:val="22"/>
        </w:rPr>
        <w:t> </w:t>
      </w:r>
      <w:r>
        <w:rPr>
          <w:rFonts w:ascii="Times New Roman" w:hAnsi="Times New Roman"/>
          <w:sz w:val="22"/>
        </w:rPr>
        <w:t>percentual</w:t>
      </w:r>
      <w:r>
        <w:rPr>
          <w:rFonts w:ascii="Times New Roman" w:hAnsi="Times New Roman"/>
          <w:spacing w:val="-2"/>
          <w:sz w:val="22"/>
        </w:rPr>
        <w:t> </w:t>
      </w:r>
      <w:r>
        <w:rPr>
          <w:rFonts w:ascii="Times New Roman" w:hAnsi="Times New Roman"/>
          <w:sz w:val="22"/>
        </w:rPr>
        <w:t>aplicado</w:t>
      </w:r>
      <w:r>
        <w:rPr>
          <w:rFonts w:ascii="Times New Roman" w:hAnsi="Times New Roman"/>
          <w:spacing w:val="-3"/>
          <w:sz w:val="22"/>
        </w:rPr>
        <w:t> </w:t>
      </w:r>
      <w:r>
        <w:rPr>
          <w:rFonts w:ascii="Times New Roman" w:hAnsi="Times New Roman"/>
          <w:sz w:val="22"/>
        </w:rPr>
        <w:t>deverão</w:t>
      </w:r>
      <w:r>
        <w:rPr>
          <w:rFonts w:ascii="Times New Roman" w:hAnsi="Times New Roman"/>
          <w:spacing w:val="-3"/>
          <w:sz w:val="22"/>
        </w:rPr>
        <w:t> </w:t>
      </w:r>
      <w:r>
        <w:rPr>
          <w:rFonts w:ascii="Times New Roman" w:hAnsi="Times New Roman"/>
          <w:sz w:val="22"/>
        </w:rPr>
        <w:t>ser</w:t>
      </w:r>
      <w:r>
        <w:rPr>
          <w:rFonts w:ascii="Times New Roman" w:hAnsi="Times New Roman"/>
          <w:spacing w:val="-2"/>
          <w:sz w:val="22"/>
        </w:rPr>
        <w:t> </w:t>
      </w:r>
      <w:r>
        <w:rPr>
          <w:rFonts w:ascii="Times New Roman" w:hAnsi="Times New Roman"/>
          <w:sz w:val="22"/>
        </w:rPr>
        <w:t>motivados</w:t>
      </w:r>
      <w:r>
        <w:rPr>
          <w:rFonts w:ascii="Times New Roman" w:hAnsi="Times New Roman"/>
          <w:spacing w:val="-5"/>
          <w:sz w:val="22"/>
        </w:rPr>
        <w:t> </w:t>
      </w:r>
      <w:r>
        <w:rPr>
          <w:rFonts w:ascii="Times New Roman" w:hAnsi="Times New Roman"/>
          <w:sz w:val="22"/>
        </w:rPr>
        <w:t>e</w:t>
      </w:r>
      <w:r>
        <w:rPr>
          <w:rFonts w:ascii="Times New Roman" w:hAnsi="Times New Roman"/>
          <w:spacing w:val="-3"/>
          <w:sz w:val="22"/>
        </w:rPr>
        <w:t> </w:t>
      </w:r>
      <w:r>
        <w:rPr>
          <w:rFonts w:ascii="Times New Roman" w:hAnsi="Times New Roman"/>
          <w:sz w:val="22"/>
        </w:rPr>
        <w:t>registrados pela fiscalização contratual, com indicação dos fatos, das evidências e do impacto causado à </w:t>
      </w:r>
      <w:r>
        <w:rPr>
          <w:rFonts w:ascii="Times New Roman" w:hAnsi="Times New Roman"/>
          <w:spacing w:val="-2"/>
          <w:sz w:val="22"/>
        </w:rPr>
        <w:t>execução.</w:t>
      </w:r>
    </w:p>
    <w:p>
      <w:pPr>
        <w:pStyle w:val="BodyText"/>
        <w:ind w:left="0"/>
        <w:rPr>
          <w:rFonts w:ascii="Times New Roman"/>
          <w:sz w:val="20"/>
        </w:rPr>
      </w:pPr>
    </w:p>
    <w:p>
      <w:pPr>
        <w:pStyle w:val="BodyText"/>
        <w:spacing w:before="175"/>
        <w:ind w:left="0"/>
        <w:rPr>
          <w:rFonts w:ascii="Times New Roman"/>
          <w:sz w:val="20"/>
        </w:rPr>
      </w:pPr>
      <w:r>
        <w:rPr>
          <w:rFonts w:ascii="Times New Roman"/>
          <w:sz w:val="20"/>
        </w:rPr>
        <mc:AlternateContent>
          <mc:Choice Requires="wps">
            <w:drawing>
              <wp:anchor distT="0" distB="0" distL="0" distR="0" allowOverlap="1" layoutInCell="1" locked="0" behindDoc="1" simplePos="0" relativeHeight="487588352">
                <wp:simplePos x="0" y="0"/>
                <wp:positionH relativeFrom="page">
                  <wp:posOffset>1078865</wp:posOffset>
                </wp:positionH>
                <wp:positionV relativeFrom="paragraph">
                  <wp:posOffset>272463</wp:posOffset>
                </wp:positionV>
                <wp:extent cx="5403215" cy="6350"/>
                <wp:effectExtent l="0" t="0" r="0" b="0"/>
                <wp:wrapTopAndBottom/>
                <wp:docPr id="3" name="Graphic 3"/>
                <wp:cNvGraphicFramePr>
                  <a:graphicFrameLocks/>
                </wp:cNvGraphicFramePr>
                <a:graphic>
                  <a:graphicData uri="http://schemas.microsoft.com/office/word/2010/wordprocessingShape">
                    <wps:wsp>
                      <wps:cNvPr id="3" name="Graphic 3"/>
                      <wps:cNvSpPr/>
                      <wps:spPr>
                        <a:xfrm>
                          <a:off x="0" y="0"/>
                          <a:ext cx="5403215" cy="6350"/>
                        </a:xfrm>
                        <a:custGeom>
                          <a:avLst/>
                          <a:gdLst/>
                          <a:ahLst/>
                          <a:cxnLst/>
                          <a:rect l="l" t="t" r="r" b="b"/>
                          <a:pathLst>
                            <a:path w="5403215" h="6350">
                              <a:moveTo>
                                <a:pt x="3022" y="3060"/>
                              </a:moveTo>
                              <a:lnTo>
                                <a:pt x="0" y="3060"/>
                              </a:lnTo>
                              <a:lnTo>
                                <a:pt x="0" y="6096"/>
                              </a:lnTo>
                              <a:lnTo>
                                <a:pt x="3022" y="6096"/>
                              </a:lnTo>
                              <a:lnTo>
                                <a:pt x="3022" y="3060"/>
                              </a:lnTo>
                              <a:close/>
                            </a:path>
                            <a:path w="5403215" h="6350">
                              <a:moveTo>
                                <a:pt x="3022" y="12"/>
                              </a:moveTo>
                              <a:lnTo>
                                <a:pt x="0" y="12"/>
                              </a:lnTo>
                              <a:lnTo>
                                <a:pt x="0" y="3048"/>
                              </a:lnTo>
                              <a:lnTo>
                                <a:pt x="3022" y="3048"/>
                              </a:lnTo>
                              <a:lnTo>
                                <a:pt x="3022" y="12"/>
                              </a:lnTo>
                              <a:close/>
                            </a:path>
                            <a:path w="5403215" h="6350">
                              <a:moveTo>
                                <a:pt x="5403088" y="0"/>
                              </a:moveTo>
                              <a:lnTo>
                                <a:pt x="3048" y="0"/>
                              </a:lnTo>
                              <a:lnTo>
                                <a:pt x="3048" y="3048"/>
                              </a:lnTo>
                              <a:lnTo>
                                <a:pt x="3048" y="6096"/>
                              </a:lnTo>
                              <a:lnTo>
                                <a:pt x="5403088" y="6096"/>
                              </a:lnTo>
                              <a:lnTo>
                                <a:pt x="5403088" y="3048"/>
                              </a:lnTo>
                              <a:lnTo>
                                <a:pt x="5403088"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84.950005pt;margin-top:21.453856pt;width:425.45pt;height:.5pt;mso-position-horizontal-relative:page;mso-position-vertical-relative:paragraph;z-index:-15728128;mso-wrap-distance-left:0;mso-wrap-distance-right:0" id="docshape2" coordorigin="1699,429" coordsize="8509,10" path="m1704,434l1699,434,1699,439,1704,439,1704,434xm1704,429l1699,429,1699,434,1704,434,1704,429xm10208,429l1704,429,1704,434,1704,439,10208,439,10208,434,10208,429xe" filled="true" fillcolor="#9f9f9f" stroked="false">
                <v:path arrowok="t"/>
                <v:fill type="solid"/>
                <w10:wrap type="topAndBottom"/>
              </v:shape>
            </w:pict>
          </mc:Fallback>
        </mc:AlternateContent>
      </w:r>
    </w:p>
    <w:p>
      <w:pPr>
        <w:pStyle w:val="BodyText"/>
        <w:spacing w:after="0"/>
        <w:rPr>
          <w:rFonts w:ascii="Times New Roman"/>
          <w:sz w:val="20"/>
        </w:rPr>
        <w:sectPr>
          <w:pgSz w:w="11920" w:h="16850"/>
          <w:pgMar w:top="1100" w:bottom="280" w:left="1133" w:right="566"/>
        </w:sectPr>
      </w:pPr>
    </w:p>
    <w:p>
      <w:pPr>
        <w:pStyle w:val="Heading1"/>
        <w:numPr>
          <w:ilvl w:val="0"/>
          <w:numId w:val="1"/>
        </w:numPr>
        <w:tabs>
          <w:tab w:pos="778" w:val="left" w:leader="none"/>
        </w:tabs>
        <w:spacing w:line="240" w:lineRule="auto" w:before="31" w:after="0"/>
        <w:ind w:left="778" w:right="0" w:hanging="212"/>
        <w:jc w:val="left"/>
      </w:pPr>
      <w:r>
        <w:rPr/>
        <w:t>Quadro</w:t>
      </w:r>
      <w:r>
        <w:rPr>
          <w:spacing w:val="-10"/>
        </w:rPr>
        <w:t> </w:t>
      </w:r>
      <w:r>
        <w:rPr/>
        <w:t>de</w:t>
      </w:r>
      <w:r>
        <w:rPr>
          <w:spacing w:val="-12"/>
        </w:rPr>
        <w:t> </w:t>
      </w:r>
      <w:r>
        <w:rPr/>
        <w:t>indicadores</w:t>
      </w:r>
      <w:r>
        <w:rPr>
          <w:spacing w:val="-9"/>
        </w:rPr>
        <w:t> </w:t>
      </w:r>
      <w:r>
        <w:rPr/>
        <w:t>do</w:t>
      </w:r>
      <w:r>
        <w:rPr>
          <w:spacing w:val="-6"/>
        </w:rPr>
        <w:t> </w:t>
      </w:r>
      <w:r>
        <w:rPr>
          <w:spacing w:val="-5"/>
        </w:rPr>
        <w:t>IMR</w:t>
      </w:r>
    </w:p>
    <w:p>
      <w:pPr>
        <w:pStyle w:val="BodyText"/>
        <w:ind w:left="0"/>
        <w:rPr>
          <w:b/>
          <w:sz w:val="15"/>
        </w:rPr>
      </w:pPr>
    </w:p>
    <w:tbl>
      <w:tblPr>
        <w:tblW w:w="0" w:type="auto"/>
        <w:jc w:val="left"/>
        <w:tblInd w:w="1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122"/>
        <w:gridCol w:w="2830"/>
        <w:gridCol w:w="1394"/>
        <w:gridCol w:w="3560"/>
      </w:tblGrid>
      <w:tr>
        <w:trPr>
          <w:trHeight w:val="762" w:hRule="atLeast"/>
        </w:trPr>
        <w:tc>
          <w:tcPr>
            <w:tcW w:w="2122" w:type="dxa"/>
          </w:tcPr>
          <w:p>
            <w:pPr>
              <w:pStyle w:val="TableParagraph"/>
              <w:spacing w:before="157"/>
              <w:ind w:left="645"/>
              <w:rPr>
                <w:b/>
                <w:sz w:val="22"/>
              </w:rPr>
            </w:pPr>
            <w:r>
              <w:rPr>
                <w:b/>
                <w:spacing w:val="-2"/>
                <w:sz w:val="22"/>
              </w:rPr>
              <w:t>Indicador</w:t>
            </w:r>
          </w:p>
        </w:tc>
        <w:tc>
          <w:tcPr>
            <w:tcW w:w="2830" w:type="dxa"/>
          </w:tcPr>
          <w:p>
            <w:pPr>
              <w:pStyle w:val="TableParagraph"/>
              <w:spacing w:before="157"/>
              <w:ind w:left="618"/>
              <w:rPr>
                <w:b/>
                <w:sz w:val="22"/>
              </w:rPr>
            </w:pPr>
            <w:r>
              <w:rPr>
                <w:b/>
                <w:sz w:val="22"/>
              </w:rPr>
              <w:t>Meta</w:t>
            </w:r>
            <w:r>
              <w:rPr>
                <w:b/>
                <w:spacing w:val="-12"/>
                <w:sz w:val="22"/>
              </w:rPr>
              <w:t> </w:t>
            </w:r>
            <w:r>
              <w:rPr>
                <w:b/>
                <w:spacing w:val="-2"/>
                <w:sz w:val="22"/>
              </w:rPr>
              <w:t>exigida</w:t>
            </w:r>
          </w:p>
        </w:tc>
        <w:tc>
          <w:tcPr>
            <w:tcW w:w="1394" w:type="dxa"/>
          </w:tcPr>
          <w:p>
            <w:pPr>
              <w:pStyle w:val="TableParagraph"/>
              <w:spacing w:line="254" w:lineRule="auto" w:before="16"/>
              <w:ind w:left="282" w:right="237" w:hanging="10"/>
              <w:rPr>
                <w:b/>
                <w:sz w:val="22"/>
              </w:rPr>
            </w:pPr>
            <w:r>
              <w:rPr>
                <w:b/>
                <w:spacing w:val="-2"/>
                <w:sz w:val="22"/>
              </w:rPr>
              <w:t>Forma</w:t>
            </w:r>
            <w:r>
              <w:rPr>
                <w:b/>
                <w:spacing w:val="-12"/>
                <w:sz w:val="22"/>
              </w:rPr>
              <w:t> </w:t>
            </w:r>
            <w:r>
              <w:rPr>
                <w:b/>
                <w:spacing w:val="-2"/>
                <w:sz w:val="22"/>
              </w:rPr>
              <w:t>de apuração</w:t>
            </w:r>
          </w:p>
        </w:tc>
        <w:tc>
          <w:tcPr>
            <w:tcW w:w="3560" w:type="dxa"/>
          </w:tcPr>
          <w:p>
            <w:pPr>
              <w:pStyle w:val="TableParagraph"/>
              <w:spacing w:before="16"/>
              <w:ind w:left="91"/>
              <w:rPr>
                <w:b/>
                <w:sz w:val="22"/>
              </w:rPr>
            </w:pPr>
            <w:r>
              <w:rPr>
                <w:b/>
                <w:sz w:val="22"/>
              </w:rPr>
              <w:t>Consequência</w:t>
            </w:r>
            <w:r>
              <w:rPr>
                <w:b/>
                <w:spacing w:val="-14"/>
                <w:sz w:val="22"/>
              </w:rPr>
              <w:t> </w:t>
            </w:r>
            <w:r>
              <w:rPr>
                <w:b/>
                <w:sz w:val="22"/>
              </w:rPr>
              <w:t>/</w:t>
            </w:r>
            <w:r>
              <w:rPr>
                <w:b/>
                <w:spacing w:val="-13"/>
                <w:sz w:val="22"/>
              </w:rPr>
              <w:t> </w:t>
            </w:r>
            <w:r>
              <w:rPr>
                <w:b/>
                <w:sz w:val="22"/>
              </w:rPr>
              <w:t>critério</w:t>
            </w:r>
            <w:r>
              <w:rPr>
                <w:b/>
                <w:spacing w:val="-15"/>
                <w:sz w:val="22"/>
              </w:rPr>
              <w:t> </w:t>
            </w:r>
            <w:r>
              <w:rPr>
                <w:b/>
                <w:sz w:val="22"/>
              </w:rPr>
              <w:t>de</w:t>
            </w:r>
            <w:r>
              <w:rPr>
                <w:b/>
                <w:spacing w:val="-11"/>
                <w:sz w:val="22"/>
              </w:rPr>
              <w:t> </w:t>
            </w:r>
            <w:r>
              <w:rPr>
                <w:b/>
                <w:spacing w:val="-4"/>
                <w:sz w:val="22"/>
              </w:rPr>
              <w:t>glosa</w:t>
            </w:r>
          </w:p>
        </w:tc>
      </w:tr>
      <w:tr>
        <w:trPr>
          <w:trHeight w:val="6701" w:hRule="atLeast"/>
        </w:trPr>
        <w:tc>
          <w:tcPr>
            <w:tcW w:w="2122" w:type="dxa"/>
          </w:tcPr>
          <w:p>
            <w:pPr>
              <w:pStyle w:val="TableParagraph"/>
              <w:rPr>
                <w:b/>
                <w:sz w:val="22"/>
              </w:rPr>
            </w:pPr>
          </w:p>
          <w:p>
            <w:pPr>
              <w:pStyle w:val="TableParagraph"/>
              <w:rPr>
                <w:b/>
                <w:sz w:val="22"/>
              </w:rPr>
            </w:pPr>
          </w:p>
          <w:p>
            <w:pPr>
              <w:pStyle w:val="TableParagraph"/>
              <w:spacing w:before="83"/>
              <w:rPr>
                <w:b/>
                <w:sz w:val="22"/>
              </w:rPr>
            </w:pPr>
          </w:p>
          <w:p>
            <w:pPr>
              <w:pStyle w:val="TableParagraph"/>
              <w:spacing w:line="254" w:lineRule="auto"/>
              <w:ind w:left="23" w:right="93"/>
              <w:rPr>
                <w:b/>
                <w:sz w:val="22"/>
              </w:rPr>
            </w:pPr>
            <w:r>
              <w:rPr>
                <w:b/>
                <w:spacing w:val="-4"/>
                <w:sz w:val="22"/>
              </w:rPr>
              <w:t>Entrega</w:t>
            </w:r>
            <w:r>
              <w:rPr>
                <w:b/>
                <w:spacing w:val="-17"/>
                <w:sz w:val="22"/>
              </w:rPr>
              <w:t> </w:t>
            </w:r>
            <w:r>
              <w:rPr>
                <w:b/>
                <w:spacing w:val="-4"/>
                <w:sz w:val="22"/>
              </w:rPr>
              <w:t>tempestiva dos</w:t>
            </w:r>
          </w:p>
          <w:p>
            <w:pPr>
              <w:pStyle w:val="TableParagraph"/>
              <w:spacing w:before="2"/>
              <w:ind w:left="23"/>
              <w:rPr>
                <w:b/>
                <w:sz w:val="22"/>
              </w:rPr>
            </w:pPr>
            <w:r>
              <w:rPr>
                <w:b/>
                <w:spacing w:val="-2"/>
                <w:sz w:val="22"/>
              </w:rPr>
              <w:t>veículos</w:t>
            </w:r>
          </w:p>
        </w:tc>
        <w:tc>
          <w:tcPr>
            <w:tcW w:w="2830" w:type="dxa"/>
          </w:tcPr>
          <w:p>
            <w:pPr>
              <w:pStyle w:val="TableParagraph"/>
              <w:spacing w:line="256" w:lineRule="auto"/>
              <w:ind w:left="26" w:right="401"/>
              <w:rPr>
                <w:sz w:val="22"/>
              </w:rPr>
            </w:pPr>
            <w:r>
              <w:rPr>
                <w:sz w:val="22"/>
              </w:rPr>
              <w:t>Disponibilizar todos os veículos contratados no prazo máximo de 60 (sessenta) dias corridos, contado do recebimento da Ordem de Serviço ou instrumento equivalente. Será admitida entrega parcelada ou por lotes somente</w:t>
            </w:r>
            <w:r>
              <w:rPr>
                <w:spacing w:val="-1"/>
                <w:sz w:val="22"/>
              </w:rPr>
              <w:t> </w:t>
            </w:r>
            <w:r>
              <w:rPr>
                <w:sz w:val="22"/>
              </w:rPr>
              <w:t>quando prevista ou autorizada pela Administração,</w:t>
            </w:r>
            <w:r>
              <w:rPr>
                <w:spacing w:val="-13"/>
                <w:sz w:val="22"/>
              </w:rPr>
              <w:t> </w:t>
            </w:r>
            <w:r>
              <w:rPr>
                <w:sz w:val="22"/>
              </w:rPr>
              <w:t>desde</w:t>
            </w:r>
            <w:r>
              <w:rPr>
                <w:spacing w:val="-12"/>
                <w:sz w:val="22"/>
              </w:rPr>
              <w:t> </w:t>
            </w:r>
            <w:r>
              <w:rPr>
                <w:sz w:val="22"/>
              </w:rPr>
              <w:t>que a</w:t>
            </w:r>
            <w:r>
              <w:rPr>
                <w:spacing w:val="-13"/>
                <w:sz w:val="22"/>
              </w:rPr>
              <w:t> </w:t>
            </w:r>
            <w:r>
              <w:rPr>
                <w:sz w:val="22"/>
              </w:rPr>
              <w:t>disponibilização</w:t>
            </w:r>
            <w:r>
              <w:rPr>
                <w:spacing w:val="-12"/>
                <w:sz w:val="22"/>
              </w:rPr>
              <w:t> </w:t>
            </w:r>
            <w:r>
              <w:rPr>
                <w:sz w:val="22"/>
              </w:rPr>
              <w:t>integral da frota seja concluída dentro do prazo máximo </w:t>
            </w:r>
            <w:r>
              <w:rPr>
                <w:spacing w:val="-2"/>
                <w:sz w:val="22"/>
              </w:rPr>
              <w:t>estabelecido.</w:t>
            </w:r>
          </w:p>
        </w:tc>
        <w:tc>
          <w:tcPr>
            <w:tcW w:w="1394" w:type="dxa"/>
          </w:tcPr>
          <w:p>
            <w:pPr>
              <w:pStyle w:val="TableParagraph"/>
              <w:rPr>
                <w:b/>
                <w:sz w:val="22"/>
              </w:rPr>
            </w:pPr>
          </w:p>
          <w:p>
            <w:pPr>
              <w:pStyle w:val="TableParagraph"/>
              <w:spacing w:before="210"/>
              <w:rPr>
                <w:b/>
                <w:sz w:val="22"/>
              </w:rPr>
            </w:pPr>
          </w:p>
          <w:p>
            <w:pPr>
              <w:pStyle w:val="TableParagraph"/>
              <w:spacing w:line="235" w:lineRule="auto"/>
              <w:ind w:left="23" w:right="40"/>
              <w:rPr>
                <w:sz w:val="22"/>
              </w:rPr>
            </w:pPr>
            <w:r>
              <w:rPr>
                <w:sz w:val="22"/>
              </w:rPr>
              <w:t>Por</w:t>
            </w:r>
            <w:r>
              <w:rPr>
                <w:spacing w:val="-2"/>
                <w:sz w:val="22"/>
              </w:rPr>
              <w:t> </w:t>
            </w:r>
            <w:r>
              <w:rPr>
                <w:sz w:val="22"/>
              </w:rPr>
              <w:t>veículo</w:t>
            </w:r>
            <w:r>
              <w:rPr>
                <w:spacing w:val="-1"/>
                <w:sz w:val="22"/>
              </w:rPr>
              <w:t> </w:t>
            </w:r>
            <w:r>
              <w:rPr>
                <w:sz w:val="22"/>
              </w:rPr>
              <w:t>ou lote entregue e ao término do prazo máximo de </w:t>
            </w:r>
            <w:r>
              <w:rPr>
                <w:spacing w:val="-2"/>
                <w:sz w:val="22"/>
              </w:rPr>
              <w:t>disponibilizaçã </w:t>
            </w:r>
            <w:r>
              <w:rPr>
                <w:sz w:val="22"/>
              </w:rPr>
              <w:t>o inicial da </w:t>
            </w:r>
            <w:r>
              <w:rPr>
                <w:spacing w:val="-2"/>
                <w:sz w:val="22"/>
              </w:rPr>
              <w:t>frota.</w:t>
            </w:r>
          </w:p>
        </w:tc>
        <w:tc>
          <w:tcPr>
            <w:tcW w:w="3560" w:type="dxa"/>
          </w:tcPr>
          <w:p>
            <w:pPr>
              <w:pStyle w:val="TableParagraph"/>
              <w:spacing w:line="259" w:lineRule="auto"/>
              <w:ind w:left="24" w:right="46"/>
              <w:rPr>
                <w:sz w:val="22"/>
              </w:rPr>
            </w:pPr>
            <w:r>
              <w:rPr>
                <w:sz w:val="22"/>
              </w:rPr>
              <w:t>O</w:t>
            </w:r>
            <w:r>
              <w:rPr>
                <w:spacing w:val="-6"/>
                <w:sz w:val="22"/>
              </w:rPr>
              <w:t> </w:t>
            </w:r>
            <w:r>
              <w:rPr>
                <w:sz w:val="22"/>
              </w:rPr>
              <w:t>veículo</w:t>
            </w:r>
            <w:r>
              <w:rPr>
                <w:spacing w:val="-7"/>
                <w:sz w:val="22"/>
              </w:rPr>
              <w:t> </w:t>
            </w:r>
            <w:r>
              <w:rPr>
                <w:sz w:val="22"/>
              </w:rPr>
              <w:t>ainda</w:t>
            </w:r>
            <w:r>
              <w:rPr>
                <w:spacing w:val="-6"/>
                <w:sz w:val="22"/>
              </w:rPr>
              <w:t> </w:t>
            </w:r>
            <w:r>
              <w:rPr>
                <w:sz w:val="22"/>
              </w:rPr>
              <w:t>não</w:t>
            </w:r>
            <w:r>
              <w:rPr>
                <w:spacing w:val="-8"/>
                <w:sz w:val="22"/>
              </w:rPr>
              <w:t> </w:t>
            </w:r>
            <w:r>
              <w:rPr>
                <w:sz w:val="22"/>
              </w:rPr>
              <w:t>entregue</w:t>
            </w:r>
            <w:r>
              <w:rPr>
                <w:spacing w:val="-6"/>
                <w:sz w:val="22"/>
              </w:rPr>
              <w:t> </w:t>
            </w:r>
            <w:r>
              <w:rPr>
                <w:sz w:val="22"/>
              </w:rPr>
              <w:t>não</w:t>
            </w:r>
            <w:r>
              <w:rPr>
                <w:spacing w:val="-6"/>
                <w:sz w:val="22"/>
              </w:rPr>
              <w:t> </w:t>
            </w:r>
            <w:r>
              <w:rPr>
                <w:sz w:val="22"/>
              </w:rPr>
              <w:t>será considerado disponibilizado para fins de pagamento, não sendo devida remuneração</w:t>
            </w:r>
            <w:r>
              <w:rPr>
                <w:spacing w:val="-9"/>
                <w:sz w:val="22"/>
              </w:rPr>
              <w:t> </w:t>
            </w:r>
            <w:r>
              <w:rPr>
                <w:sz w:val="22"/>
              </w:rPr>
              <w:t>pelo</w:t>
            </w:r>
            <w:r>
              <w:rPr>
                <w:spacing w:val="-9"/>
                <w:sz w:val="22"/>
              </w:rPr>
              <w:t> </w:t>
            </w:r>
            <w:r>
              <w:rPr>
                <w:sz w:val="22"/>
              </w:rPr>
              <w:t>respectivo</w:t>
            </w:r>
            <w:r>
              <w:rPr>
                <w:spacing w:val="-9"/>
                <w:sz w:val="22"/>
              </w:rPr>
              <w:t> </w:t>
            </w:r>
            <w:r>
              <w:rPr>
                <w:sz w:val="22"/>
              </w:rPr>
              <w:t>período. O atraso poderá ensejar notificação, aplicação das sanções previstas no edital e no contrato e adoção das demais medidas administrativas cabíveis, vedada a aplicação cumulativa de glosa pelo mesmo período em que não houver pagamento pela disponibilização do </w:t>
            </w:r>
            <w:r>
              <w:rPr>
                <w:spacing w:val="-2"/>
                <w:sz w:val="22"/>
              </w:rPr>
              <w:t>veículo.</w:t>
            </w:r>
          </w:p>
        </w:tc>
      </w:tr>
      <w:tr>
        <w:trPr>
          <w:trHeight w:val="3203" w:hRule="atLeast"/>
        </w:trPr>
        <w:tc>
          <w:tcPr>
            <w:tcW w:w="2122" w:type="dxa"/>
          </w:tcPr>
          <w:p>
            <w:pPr>
              <w:pStyle w:val="TableParagraph"/>
              <w:rPr>
                <w:b/>
                <w:sz w:val="22"/>
              </w:rPr>
            </w:pPr>
          </w:p>
          <w:p>
            <w:pPr>
              <w:pStyle w:val="TableParagraph"/>
              <w:rPr>
                <w:b/>
                <w:sz w:val="22"/>
              </w:rPr>
            </w:pPr>
          </w:p>
          <w:p>
            <w:pPr>
              <w:pStyle w:val="TableParagraph"/>
              <w:spacing w:before="222"/>
              <w:rPr>
                <w:b/>
                <w:sz w:val="22"/>
              </w:rPr>
            </w:pPr>
          </w:p>
          <w:p>
            <w:pPr>
              <w:pStyle w:val="TableParagraph"/>
              <w:spacing w:line="261" w:lineRule="auto" w:before="1"/>
              <w:ind w:left="23"/>
              <w:rPr>
                <w:b/>
                <w:sz w:val="22"/>
              </w:rPr>
            </w:pPr>
            <w:r>
              <w:rPr>
                <w:b/>
                <w:spacing w:val="-2"/>
                <w:sz w:val="22"/>
              </w:rPr>
              <w:t>Compatibilidade</w:t>
            </w:r>
            <w:r>
              <w:rPr>
                <w:b/>
                <w:spacing w:val="-12"/>
                <w:sz w:val="22"/>
              </w:rPr>
              <w:t> </w:t>
            </w:r>
            <w:r>
              <w:rPr>
                <w:b/>
                <w:spacing w:val="-2"/>
                <w:sz w:val="22"/>
              </w:rPr>
              <w:t>dos </w:t>
            </w:r>
            <w:r>
              <w:rPr>
                <w:b/>
                <w:sz w:val="22"/>
              </w:rPr>
              <w:t>veículos entregues</w:t>
            </w:r>
          </w:p>
        </w:tc>
        <w:tc>
          <w:tcPr>
            <w:tcW w:w="2830" w:type="dxa"/>
          </w:tcPr>
          <w:p>
            <w:pPr>
              <w:pStyle w:val="TableParagraph"/>
              <w:spacing w:line="259" w:lineRule="auto" w:before="15"/>
              <w:ind w:left="26" w:right="17"/>
              <w:rPr>
                <w:sz w:val="22"/>
              </w:rPr>
            </w:pPr>
            <w:r>
              <w:rPr>
                <w:sz w:val="22"/>
              </w:rPr>
              <w:t>Entregar os veículos em conformidade com as especificações técnicas, categoria, ano/modelo, documentação, seguro ou cobertura equivalente, película, plotagem institucional, rastreamento, telemetria</w:t>
            </w:r>
            <w:r>
              <w:rPr>
                <w:spacing w:val="-13"/>
                <w:sz w:val="22"/>
              </w:rPr>
              <w:t> </w:t>
            </w:r>
            <w:r>
              <w:rPr>
                <w:sz w:val="22"/>
              </w:rPr>
              <w:t>e</w:t>
            </w:r>
            <w:r>
              <w:rPr>
                <w:spacing w:val="-12"/>
                <w:sz w:val="22"/>
              </w:rPr>
              <w:t> </w:t>
            </w:r>
            <w:r>
              <w:rPr>
                <w:sz w:val="22"/>
              </w:rPr>
              <w:t>demais</w:t>
            </w:r>
            <w:r>
              <w:rPr>
                <w:spacing w:val="-12"/>
                <w:sz w:val="22"/>
              </w:rPr>
              <w:t> </w:t>
            </w:r>
            <w:r>
              <w:rPr>
                <w:sz w:val="22"/>
              </w:rPr>
              <w:t>requisitos previstos no Termo de</w:t>
            </w:r>
          </w:p>
          <w:p>
            <w:pPr>
              <w:pStyle w:val="TableParagraph"/>
              <w:spacing w:line="267" w:lineRule="exact"/>
              <w:ind w:left="26"/>
              <w:rPr>
                <w:sz w:val="22"/>
              </w:rPr>
            </w:pPr>
            <w:r>
              <w:rPr>
                <w:spacing w:val="-2"/>
                <w:sz w:val="22"/>
              </w:rPr>
              <w:t>Referência.</w:t>
            </w:r>
          </w:p>
        </w:tc>
        <w:tc>
          <w:tcPr>
            <w:tcW w:w="1394" w:type="dxa"/>
          </w:tcPr>
          <w:p>
            <w:pPr>
              <w:pStyle w:val="TableParagraph"/>
              <w:rPr>
                <w:b/>
                <w:sz w:val="22"/>
              </w:rPr>
            </w:pPr>
          </w:p>
          <w:p>
            <w:pPr>
              <w:pStyle w:val="TableParagraph"/>
              <w:rPr>
                <w:b/>
                <w:sz w:val="22"/>
              </w:rPr>
            </w:pPr>
          </w:p>
          <w:p>
            <w:pPr>
              <w:pStyle w:val="TableParagraph"/>
              <w:spacing w:before="78"/>
              <w:rPr>
                <w:b/>
                <w:sz w:val="22"/>
              </w:rPr>
            </w:pPr>
          </w:p>
          <w:p>
            <w:pPr>
              <w:pStyle w:val="TableParagraph"/>
              <w:spacing w:line="259" w:lineRule="auto" w:before="1"/>
              <w:ind w:left="23"/>
              <w:rPr>
                <w:sz w:val="22"/>
              </w:rPr>
            </w:pPr>
            <w:r>
              <w:rPr>
                <w:spacing w:val="-2"/>
                <w:sz w:val="22"/>
              </w:rPr>
              <w:t>A</w:t>
            </w:r>
            <w:r>
              <w:rPr>
                <w:spacing w:val="-12"/>
                <w:sz w:val="22"/>
              </w:rPr>
              <w:t> </w:t>
            </w:r>
            <w:r>
              <w:rPr>
                <w:spacing w:val="-2"/>
                <w:sz w:val="22"/>
              </w:rPr>
              <w:t>cada</w:t>
            </w:r>
            <w:r>
              <w:rPr>
                <w:spacing w:val="-14"/>
                <w:sz w:val="22"/>
              </w:rPr>
              <w:t> </w:t>
            </w:r>
            <w:r>
              <w:rPr>
                <w:spacing w:val="-2"/>
                <w:sz w:val="22"/>
              </w:rPr>
              <w:t>entrega </w:t>
            </w:r>
            <w:r>
              <w:rPr>
                <w:sz w:val="22"/>
              </w:rPr>
              <w:t>e durante a </w:t>
            </w:r>
            <w:r>
              <w:rPr>
                <w:spacing w:val="-2"/>
                <w:sz w:val="22"/>
              </w:rPr>
              <w:t>execução</w:t>
            </w:r>
          </w:p>
        </w:tc>
        <w:tc>
          <w:tcPr>
            <w:tcW w:w="3560" w:type="dxa"/>
          </w:tcPr>
          <w:p>
            <w:pPr>
              <w:pStyle w:val="TableParagraph"/>
              <w:spacing w:before="13"/>
              <w:ind w:left="24"/>
              <w:rPr>
                <w:sz w:val="22"/>
              </w:rPr>
            </w:pPr>
            <w:r>
              <w:rPr>
                <w:sz w:val="22"/>
              </w:rPr>
              <w:t>Rejeição</w:t>
            </w:r>
            <w:r>
              <w:rPr>
                <w:spacing w:val="-12"/>
                <w:sz w:val="22"/>
              </w:rPr>
              <w:t> </w:t>
            </w:r>
            <w:r>
              <w:rPr>
                <w:sz w:val="22"/>
              </w:rPr>
              <w:t>do</w:t>
            </w:r>
            <w:r>
              <w:rPr>
                <w:spacing w:val="-9"/>
                <w:sz w:val="22"/>
              </w:rPr>
              <w:t> </w:t>
            </w:r>
            <w:r>
              <w:rPr>
                <w:spacing w:val="-2"/>
                <w:sz w:val="22"/>
              </w:rPr>
              <w:t>veículo,</w:t>
            </w:r>
          </w:p>
          <w:p>
            <w:pPr>
              <w:pStyle w:val="TableParagraph"/>
              <w:spacing w:line="256" w:lineRule="auto" w:before="29"/>
              <w:ind w:left="24" w:right="640"/>
              <w:rPr>
                <w:sz w:val="22"/>
              </w:rPr>
            </w:pPr>
            <w:r>
              <w:rPr>
                <w:sz w:val="22"/>
              </w:rPr>
              <w:t>exigência</w:t>
            </w:r>
            <w:r>
              <w:rPr>
                <w:spacing w:val="-14"/>
                <w:sz w:val="22"/>
              </w:rPr>
              <w:t> </w:t>
            </w:r>
            <w:r>
              <w:rPr>
                <w:sz w:val="22"/>
              </w:rPr>
              <w:t>de</w:t>
            </w:r>
            <w:r>
              <w:rPr>
                <w:spacing w:val="-13"/>
                <w:sz w:val="22"/>
              </w:rPr>
              <w:t> </w:t>
            </w:r>
            <w:r>
              <w:rPr>
                <w:sz w:val="22"/>
              </w:rPr>
              <w:t>substituição</w:t>
            </w:r>
            <w:r>
              <w:rPr>
                <w:spacing w:val="-16"/>
                <w:sz w:val="22"/>
              </w:rPr>
              <w:t> </w:t>
            </w:r>
            <w:r>
              <w:rPr>
                <w:sz w:val="22"/>
              </w:rPr>
              <w:t>e</w:t>
            </w:r>
            <w:r>
              <w:rPr>
                <w:spacing w:val="-12"/>
                <w:sz w:val="22"/>
              </w:rPr>
              <w:t> </w:t>
            </w:r>
            <w:r>
              <w:rPr>
                <w:sz w:val="22"/>
              </w:rPr>
              <w:t>glosa proporcional até a regularização. Se aceito provisoriamente com</w:t>
            </w:r>
          </w:p>
          <w:p>
            <w:pPr>
              <w:pStyle w:val="TableParagraph"/>
              <w:spacing w:line="259" w:lineRule="auto" w:before="7"/>
              <w:ind w:left="24" w:right="129"/>
              <w:jc w:val="both"/>
              <w:rPr>
                <w:sz w:val="22"/>
              </w:rPr>
            </w:pPr>
            <w:r>
              <w:rPr>
                <w:sz w:val="22"/>
              </w:rPr>
              <w:t>ressalva não impeditiva de uso, poderá</w:t>
            </w:r>
            <w:r>
              <w:rPr>
                <w:spacing w:val="-13"/>
                <w:sz w:val="22"/>
              </w:rPr>
              <w:t> </w:t>
            </w:r>
            <w:r>
              <w:rPr>
                <w:sz w:val="22"/>
              </w:rPr>
              <w:t>haver</w:t>
            </w:r>
            <w:r>
              <w:rPr>
                <w:spacing w:val="-12"/>
                <w:sz w:val="22"/>
              </w:rPr>
              <w:t> </w:t>
            </w:r>
            <w:r>
              <w:rPr>
                <w:sz w:val="22"/>
              </w:rPr>
              <w:t>glosa</w:t>
            </w:r>
            <w:r>
              <w:rPr>
                <w:spacing w:val="-12"/>
                <w:sz w:val="22"/>
              </w:rPr>
              <w:t> </w:t>
            </w:r>
            <w:r>
              <w:rPr>
                <w:sz w:val="22"/>
              </w:rPr>
              <w:t>de</w:t>
            </w:r>
            <w:r>
              <w:rPr>
                <w:spacing w:val="-6"/>
                <w:sz w:val="22"/>
              </w:rPr>
              <w:t> </w:t>
            </w:r>
            <w:r>
              <w:rPr>
                <w:sz w:val="22"/>
              </w:rPr>
              <w:t>até</w:t>
            </w:r>
            <w:r>
              <w:rPr>
                <w:spacing w:val="-8"/>
                <w:sz w:val="22"/>
              </w:rPr>
              <w:t> </w:t>
            </w:r>
            <w:r>
              <w:rPr>
                <w:sz w:val="22"/>
              </w:rPr>
              <w:t>2%</w:t>
            </w:r>
            <w:r>
              <w:rPr>
                <w:spacing w:val="-5"/>
                <w:sz w:val="22"/>
              </w:rPr>
              <w:t> </w:t>
            </w:r>
            <w:r>
              <w:rPr>
                <w:sz w:val="22"/>
              </w:rPr>
              <w:t>do</w:t>
            </w:r>
            <w:r>
              <w:rPr>
                <w:spacing w:val="-5"/>
                <w:sz w:val="22"/>
              </w:rPr>
              <w:t> </w:t>
            </w:r>
            <w:r>
              <w:rPr>
                <w:sz w:val="22"/>
              </w:rPr>
              <w:t>VMV </w:t>
            </w:r>
            <w:r>
              <w:rPr>
                <w:spacing w:val="-4"/>
                <w:sz w:val="22"/>
              </w:rPr>
              <w:t>por</w:t>
            </w:r>
          </w:p>
          <w:p>
            <w:pPr>
              <w:pStyle w:val="TableParagraph"/>
              <w:spacing w:before="6"/>
              <w:ind w:left="24"/>
              <w:rPr>
                <w:sz w:val="22"/>
              </w:rPr>
            </w:pPr>
            <w:r>
              <w:rPr>
                <w:spacing w:val="-2"/>
                <w:sz w:val="22"/>
              </w:rPr>
              <w:t>ocorrência</w:t>
            </w:r>
          </w:p>
        </w:tc>
      </w:tr>
      <w:tr>
        <w:trPr>
          <w:trHeight w:val="2973" w:hRule="atLeast"/>
        </w:trPr>
        <w:tc>
          <w:tcPr>
            <w:tcW w:w="2122" w:type="dxa"/>
          </w:tcPr>
          <w:p>
            <w:pPr>
              <w:pStyle w:val="TableParagraph"/>
              <w:rPr>
                <w:b/>
                <w:sz w:val="22"/>
              </w:rPr>
            </w:pPr>
          </w:p>
          <w:p>
            <w:pPr>
              <w:pStyle w:val="TableParagraph"/>
              <w:spacing w:before="60"/>
              <w:rPr>
                <w:b/>
                <w:sz w:val="22"/>
              </w:rPr>
            </w:pPr>
          </w:p>
          <w:p>
            <w:pPr>
              <w:pStyle w:val="TableParagraph"/>
              <w:spacing w:line="254" w:lineRule="auto"/>
              <w:ind w:left="23" w:right="93"/>
              <w:rPr>
                <w:b/>
                <w:sz w:val="22"/>
              </w:rPr>
            </w:pPr>
            <w:r>
              <w:rPr>
                <w:b/>
                <w:spacing w:val="-2"/>
                <w:sz w:val="22"/>
              </w:rPr>
              <w:t>Disponibilidade</w:t>
            </w:r>
            <w:r>
              <w:rPr>
                <w:b/>
                <w:spacing w:val="-12"/>
                <w:sz w:val="22"/>
              </w:rPr>
              <w:t> </w:t>
            </w:r>
            <w:r>
              <w:rPr>
                <w:b/>
                <w:spacing w:val="-2"/>
                <w:sz w:val="22"/>
              </w:rPr>
              <w:t>da frota</w:t>
            </w:r>
          </w:p>
        </w:tc>
        <w:tc>
          <w:tcPr>
            <w:tcW w:w="2830" w:type="dxa"/>
          </w:tcPr>
          <w:p>
            <w:pPr>
              <w:pStyle w:val="TableParagraph"/>
              <w:spacing w:before="184"/>
              <w:rPr>
                <w:b/>
                <w:sz w:val="22"/>
              </w:rPr>
            </w:pPr>
          </w:p>
          <w:p>
            <w:pPr>
              <w:pStyle w:val="TableParagraph"/>
              <w:spacing w:line="259" w:lineRule="auto"/>
              <w:ind w:left="26"/>
              <w:rPr>
                <w:sz w:val="22"/>
              </w:rPr>
            </w:pPr>
            <w:r>
              <w:rPr>
                <w:sz w:val="22"/>
              </w:rPr>
              <w:t>Manter</w:t>
            </w:r>
            <w:r>
              <w:rPr>
                <w:spacing w:val="-13"/>
                <w:sz w:val="22"/>
              </w:rPr>
              <w:t> </w:t>
            </w:r>
            <w:r>
              <w:rPr>
                <w:sz w:val="22"/>
              </w:rPr>
              <w:t>os</w:t>
            </w:r>
            <w:r>
              <w:rPr>
                <w:spacing w:val="-12"/>
                <w:sz w:val="22"/>
              </w:rPr>
              <w:t> </w:t>
            </w:r>
            <w:r>
              <w:rPr>
                <w:sz w:val="22"/>
              </w:rPr>
              <w:t>veículos</w:t>
            </w:r>
            <w:r>
              <w:rPr>
                <w:spacing w:val="-13"/>
                <w:sz w:val="22"/>
              </w:rPr>
              <w:t> </w:t>
            </w:r>
            <w:r>
              <w:rPr>
                <w:sz w:val="22"/>
              </w:rPr>
              <w:t>disponíveis durante toda a vigência </w:t>
            </w:r>
            <w:r>
              <w:rPr>
                <w:spacing w:val="-2"/>
                <w:sz w:val="22"/>
              </w:rPr>
              <w:t>contratual</w:t>
            </w:r>
          </w:p>
        </w:tc>
        <w:tc>
          <w:tcPr>
            <w:tcW w:w="1394" w:type="dxa"/>
          </w:tcPr>
          <w:p>
            <w:pPr>
              <w:pStyle w:val="TableParagraph"/>
              <w:spacing w:before="186"/>
              <w:rPr>
                <w:b/>
                <w:sz w:val="22"/>
              </w:rPr>
            </w:pPr>
          </w:p>
          <w:p>
            <w:pPr>
              <w:pStyle w:val="TableParagraph"/>
              <w:spacing w:line="256" w:lineRule="auto" w:before="1"/>
              <w:ind w:left="23" w:right="66"/>
              <w:rPr>
                <w:sz w:val="22"/>
              </w:rPr>
            </w:pPr>
            <w:r>
              <w:rPr>
                <w:spacing w:val="-4"/>
                <w:sz w:val="22"/>
              </w:rPr>
              <w:t>Mensalmente </w:t>
            </w:r>
            <w:r>
              <w:rPr>
                <w:sz w:val="22"/>
              </w:rPr>
              <w:t>e por </w:t>
            </w:r>
            <w:r>
              <w:rPr>
                <w:spacing w:val="-2"/>
                <w:sz w:val="22"/>
              </w:rPr>
              <w:t>ocorrência</w:t>
            </w:r>
          </w:p>
        </w:tc>
        <w:tc>
          <w:tcPr>
            <w:tcW w:w="3560" w:type="dxa"/>
          </w:tcPr>
          <w:p>
            <w:pPr>
              <w:pStyle w:val="TableParagraph"/>
              <w:spacing w:line="261" w:lineRule="auto" w:before="16"/>
              <w:ind w:left="24" w:right="819"/>
              <w:rPr>
                <w:sz w:val="22"/>
              </w:rPr>
            </w:pPr>
            <w:r>
              <w:rPr>
                <w:sz w:val="22"/>
              </w:rPr>
              <w:t>Glosa</w:t>
            </w:r>
            <w:r>
              <w:rPr>
                <w:spacing w:val="-13"/>
                <w:sz w:val="22"/>
              </w:rPr>
              <w:t> </w:t>
            </w:r>
            <w:r>
              <w:rPr>
                <w:sz w:val="22"/>
              </w:rPr>
              <w:t>proporcional</w:t>
            </w:r>
            <w:r>
              <w:rPr>
                <w:spacing w:val="-13"/>
                <w:sz w:val="22"/>
              </w:rPr>
              <w:t> </w:t>
            </w:r>
            <w:r>
              <w:rPr>
                <w:sz w:val="22"/>
              </w:rPr>
              <w:t>ao</w:t>
            </w:r>
            <w:r>
              <w:rPr>
                <w:spacing w:val="-12"/>
                <w:sz w:val="22"/>
              </w:rPr>
              <w:t> </w:t>
            </w:r>
            <w:r>
              <w:rPr>
                <w:sz w:val="22"/>
              </w:rPr>
              <w:t>período </w:t>
            </w:r>
            <w:r>
              <w:rPr>
                <w:spacing w:val="-6"/>
                <w:sz w:val="22"/>
              </w:rPr>
              <w:t>de</w:t>
            </w:r>
          </w:p>
          <w:p>
            <w:pPr>
              <w:pStyle w:val="TableParagraph"/>
              <w:spacing w:line="259" w:lineRule="auto"/>
              <w:ind w:left="24"/>
              <w:rPr>
                <w:sz w:val="22"/>
              </w:rPr>
            </w:pPr>
            <w:r>
              <w:rPr>
                <w:sz w:val="22"/>
              </w:rPr>
              <w:t>indisponibilidade, calculada por VMD ou</w:t>
            </w:r>
            <w:r>
              <w:rPr>
                <w:spacing w:val="-13"/>
                <w:sz w:val="22"/>
              </w:rPr>
              <w:t> </w:t>
            </w:r>
            <w:r>
              <w:rPr>
                <w:sz w:val="22"/>
              </w:rPr>
              <w:t>VHH,</w:t>
            </w:r>
            <w:r>
              <w:rPr>
                <w:spacing w:val="-14"/>
                <w:sz w:val="22"/>
              </w:rPr>
              <w:t> </w:t>
            </w:r>
            <w:r>
              <w:rPr>
                <w:sz w:val="22"/>
              </w:rPr>
              <w:t>conforme</w:t>
            </w:r>
            <w:r>
              <w:rPr>
                <w:spacing w:val="-12"/>
                <w:sz w:val="22"/>
              </w:rPr>
              <w:t> </w:t>
            </w:r>
            <w:r>
              <w:rPr>
                <w:sz w:val="22"/>
              </w:rPr>
              <w:t>o</w:t>
            </w:r>
            <w:r>
              <w:rPr>
                <w:spacing w:val="-9"/>
                <w:sz w:val="22"/>
              </w:rPr>
              <w:t> </w:t>
            </w:r>
            <w:r>
              <w:rPr>
                <w:sz w:val="22"/>
              </w:rPr>
              <w:t>caso,</w:t>
            </w:r>
            <w:r>
              <w:rPr>
                <w:spacing w:val="-10"/>
                <w:sz w:val="22"/>
              </w:rPr>
              <w:t> </w:t>
            </w:r>
            <w:r>
              <w:rPr>
                <w:sz w:val="22"/>
              </w:rPr>
              <w:t>quando</w:t>
            </w:r>
            <w:r>
              <w:rPr>
                <w:spacing w:val="-6"/>
                <w:sz w:val="22"/>
              </w:rPr>
              <w:t> </w:t>
            </w:r>
            <w:r>
              <w:rPr>
                <w:sz w:val="22"/>
              </w:rPr>
              <w:t>não houver substituição tempestiva</w:t>
            </w:r>
          </w:p>
        </w:tc>
      </w:tr>
    </w:tbl>
    <w:p>
      <w:pPr>
        <w:pStyle w:val="TableParagraph"/>
        <w:spacing w:after="0" w:line="259" w:lineRule="auto"/>
        <w:rPr>
          <w:sz w:val="22"/>
        </w:rPr>
        <w:sectPr>
          <w:pgSz w:w="11920" w:h="16850"/>
          <w:pgMar w:top="1100" w:bottom="1181" w:left="1133" w:right="566"/>
        </w:sectPr>
      </w:pPr>
    </w:p>
    <w:tbl>
      <w:tblPr>
        <w:tblW w:w="0" w:type="auto"/>
        <w:jc w:val="left"/>
        <w:tblInd w:w="1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127"/>
        <w:gridCol w:w="2835"/>
        <w:gridCol w:w="1397"/>
        <w:gridCol w:w="3565"/>
      </w:tblGrid>
      <w:tr>
        <w:trPr>
          <w:trHeight w:val="693" w:hRule="atLeast"/>
        </w:trPr>
        <w:tc>
          <w:tcPr>
            <w:tcW w:w="2127" w:type="dxa"/>
          </w:tcPr>
          <w:p>
            <w:pPr>
              <w:pStyle w:val="TableParagraph"/>
              <w:spacing w:before="162"/>
              <w:ind w:left="645"/>
              <w:rPr>
                <w:b/>
                <w:sz w:val="22"/>
              </w:rPr>
            </w:pPr>
            <w:r>
              <w:rPr>
                <w:b/>
                <w:spacing w:val="-2"/>
                <w:sz w:val="22"/>
              </w:rPr>
              <w:t>Indicador</w:t>
            </w:r>
          </w:p>
        </w:tc>
        <w:tc>
          <w:tcPr>
            <w:tcW w:w="2835" w:type="dxa"/>
          </w:tcPr>
          <w:p>
            <w:pPr>
              <w:pStyle w:val="TableParagraph"/>
              <w:spacing w:before="162"/>
              <w:ind w:left="618"/>
              <w:rPr>
                <w:b/>
                <w:sz w:val="22"/>
              </w:rPr>
            </w:pPr>
            <w:r>
              <w:rPr>
                <w:b/>
                <w:sz w:val="22"/>
              </w:rPr>
              <w:t>Meta</w:t>
            </w:r>
            <w:r>
              <w:rPr>
                <w:b/>
                <w:spacing w:val="-12"/>
                <w:sz w:val="22"/>
              </w:rPr>
              <w:t> </w:t>
            </w:r>
            <w:r>
              <w:rPr>
                <w:b/>
                <w:spacing w:val="-2"/>
                <w:sz w:val="22"/>
              </w:rPr>
              <w:t>exigida</w:t>
            </w:r>
          </w:p>
        </w:tc>
        <w:tc>
          <w:tcPr>
            <w:tcW w:w="1397" w:type="dxa"/>
          </w:tcPr>
          <w:p>
            <w:pPr>
              <w:pStyle w:val="TableParagraph"/>
              <w:spacing w:line="254" w:lineRule="auto" w:before="20"/>
              <w:ind w:left="282" w:right="240" w:hanging="10"/>
              <w:rPr>
                <w:b/>
                <w:sz w:val="22"/>
              </w:rPr>
            </w:pPr>
            <w:r>
              <w:rPr>
                <w:b/>
                <w:spacing w:val="-2"/>
                <w:sz w:val="22"/>
              </w:rPr>
              <w:t>Forma</w:t>
            </w:r>
            <w:r>
              <w:rPr>
                <w:b/>
                <w:spacing w:val="-12"/>
                <w:sz w:val="22"/>
              </w:rPr>
              <w:t> </w:t>
            </w:r>
            <w:r>
              <w:rPr>
                <w:b/>
                <w:spacing w:val="-2"/>
                <w:sz w:val="22"/>
              </w:rPr>
              <w:t>de apuração</w:t>
            </w:r>
          </w:p>
        </w:tc>
        <w:tc>
          <w:tcPr>
            <w:tcW w:w="3565" w:type="dxa"/>
          </w:tcPr>
          <w:p>
            <w:pPr>
              <w:pStyle w:val="TableParagraph"/>
              <w:spacing w:before="20"/>
              <w:ind w:left="90"/>
              <w:rPr>
                <w:b/>
                <w:sz w:val="22"/>
              </w:rPr>
            </w:pPr>
            <w:r>
              <w:rPr>
                <w:b/>
                <w:sz w:val="22"/>
              </w:rPr>
              <w:t>Consequência</w:t>
            </w:r>
            <w:r>
              <w:rPr>
                <w:b/>
                <w:spacing w:val="-14"/>
                <w:sz w:val="22"/>
              </w:rPr>
              <w:t> </w:t>
            </w:r>
            <w:r>
              <w:rPr>
                <w:b/>
                <w:sz w:val="22"/>
              </w:rPr>
              <w:t>/</w:t>
            </w:r>
            <w:r>
              <w:rPr>
                <w:b/>
                <w:spacing w:val="-13"/>
                <w:sz w:val="22"/>
              </w:rPr>
              <w:t> </w:t>
            </w:r>
            <w:r>
              <w:rPr>
                <w:b/>
                <w:sz w:val="22"/>
              </w:rPr>
              <w:t>critério</w:t>
            </w:r>
            <w:r>
              <w:rPr>
                <w:b/>
                <w:spacing w:val="-15"/>
                <w:sz w:val="22"/>
              </w:rPr>
              <w:t> </w:t>
            </w:r>
            <w:r>
              <w:rPr>
                <w:b/>
                <w:sz w:val="22"/>
              </w:rPr>
              <w:t>de</w:t>
            </w:r>
            <w:r>
              <w:rPr>
                <w:b/>
                <w:spacing w:val="-11"/>
                <w:sz w:val="22"/>
              </w:rPr>
              <w:t> </w:t>
            </w:r>
            <w:r>
              <w:rPr>
                <w:b/>
                <w:spacing w:val="-4"/>
                <w:sz w:val="22"/>
              </w:rPr>
              <w:t>glosa</w:t>
            </w:r>
          </w:p>
        </w:tc>
      </w:tr>
      <w:tr>
        <w:trPr>
          <w:trHeight w:val="2879" w:hRule="atLeast"/>
        </w:trPr>
        <w:tc>
          <w:tcPr>
            <w:tcW w:w="2127" w:type="dxa"/>
          </w:tcPr>
          <w:p>
            <w:pPr>
              <w:pStyle w:val="TableParagraph"/>
              <w:rPr>
                <w:b/>
                <w:sz w:val="22"/>
              </w:rPr>
            </w:pPr>
          </w:p>
          <w:p>
            <w:pPr>
              <w:pStyle w:val="TableParagraph"/>
              <w:rPr>
                <w:b/>
                <w:sz w:val="22"/>
              </w:rPr>
            </w:pPr>
          </w:p>
          <w:p>
            <w:pPr>
              <w:pStyle w:val="TableParagraph"/>
              <w:spacing w:before="222"/>
              <w:rPr>
                <w:b/>
                <w:sz w:val="22"/>
              </w:rPr>
            </w:pPr>
          </w:p>
          <w:p>
            <w:pPr>
              <w:pStyle w:val="TableParagraph"/>
              <w:spacing w:line="261" w:lineRule="auto" w:before="1"/>
              <w:ind w:left="23" w:right="131"/>
              <w:rPr>
                <w:b/>
                <w:sz w:val="22"/>
              </w:rPr>
            </w:pPr>
            <w:r>
              <w:rPr>
                <w:b/>
                <w:sz w:val="22"/>
              </w:rPr>
              <w:t>Substituição de </w:t>
            </w:r>
            <w:r>
              <w:rPr>
                <w:b/>
                <w:spacing w:val="-2"/>
                <w:sz w:val="22"/>
              </w:rPr>
              <w:t>veículos</w:t>
            </w:r>
            <w:r>
              <w:rPr>
                <w:b/>
                <w:spacing w:val="-11"/>
                <w:sz w:val="22"/>
              </w:rPr>
              <w:t> </w:t>
            </w:r>
            <w:r>
              <w:rPr>
                <w:b/>
                <w:spacing w:val="-2"/>
                <w:sz w:val="22"/>
              </w:rPr>
              <w:t>indisponíveis</w:t>
            </w:r>
          </w:p>
        </w:tc>
        <w:tc>
          <w:tcPr>
            <w:tcW w:w="2835" w:type="dxa"/>
          </w:tcPr>
          <w:p>
            <w:pPr>
              <w:pStyle w:val="TableParagraph"/>
              <w:spacing w:line="259" w:lineRule="auto" w:before="13"/>
              <w:ind w:left="25" w:right="296"/>
              <w:jc w:val="both"/>
              <w:rPr>
                <w:sz w:val="22"/>
              </w:rPr>
            </w:pPr>
            <w:r>
              <w:rPr>
                <w:sz w:val="22"/>
              </w:rPr>
              <w:t>Substituir veículos nos prazos previstos no TR: até 4 horas na</w:t>
            </w:r>
          </w:p>
          <w:p>
            <w:pPr>
              <w:pStyle w:val="TableParagraph"/>
              <w:spacing w:line="256" w:lineRule="auto" w:before="8"/>
              <w:ind w:left="25" w:right="273"/>
              <w:rPr>
                <w:sz w:val="22"/>
              </w:rPr>
            </w:pPr>
            <w:r>
              <w:rPr>
                <w:spacing w:val="-2"/>
                <w:sz w:val="22"/>
              </w:rPr>
              <w:t>capital/região</w:t>
            </w:r>
            <w:r>
              <w:rPr>
                <w:spacing w:val="40"/>
                <w:sz w:val="22"/>
              </w:rPr>
              <w:t> </w:t>
            </w:r>
            <w:r>
              <w:rPr>
                <w:sz w:val="22"/>
              </w:rPr>
              <w:t>metropolitana e até 24 horas nos demais municípios, salvo prazo diverso</w:t>
            </w:r>
            <w:r>
              <w:rPr>
                <w:spacing w:val="-13"/>
                <w:sz w:val="22"/>
              </w:rPr>
              <w:t> </w:t>
            </w:r>
            <w:r>
              <w:rPr>
                <w:sz w:val="22"/>
              </w:rPr>
              <w:t>previsto</w:t>
            </w:r>
            <w:r>
              <w:rPr>
                <w:spacing w:val="-12"/>
                <w:sz w:val="22"/>
              </w:rPr>
              <w:t> </w:t>
            </w:r>
            <w:r>
              <w:rPr>
                <w:sz w:val="22"/>
              </w:rPr>
              <w:t>no</w:t>
            </w:r>
            <w:r>
              <w:rPr>
                <w:spacing w:val="-13"/>
                <w:sz w:val="22"/>
              </w:rPr>
              <w:t> </w:t>
            </w:r>
            <w:r>
              <w:rPr>
                <w:sz w:val="22"/>
              </w:rPr>
              <w:t>contrato</w:t>
            </w:r>
          </w:p>
        </w:tc>
        <w:tc>
          <w:tcPr>
            <w:tcW w:w="1397" w:type="dxa"/>
          </w:tcPr>
          <w:p>
            <w:pPr>
              <w:pStyle w:val="TableParagraph"/>
              <w:rPr>
                <w:b/>
                <w:sz w:val="22"/>
              </w:rPr>
            </w:pPr>
          </w:p>
          <w:p>
            <w:pPr>
              <w:pStyle w:val="TableParagraph"/>
              <w:rPr>
                <w:b/>
                <w:sz w:val="22"/>
              </w:rPr>
            </w:pPr>
          </w:p>
          <w:p>
            <w:pPr>
              <w:pStyle w:val="TableParagraph"/>
              <w:rPr>
                <w:b/>
                <w:sz w:val="22"/>
              </w:rPr>
            </w:pPr>
          </w:p>
          <w:p>
            <w:pPr>
              <w:pStyle w:val="TableParagraph"/>
              <w:spacing w:before="103"/>
              <w:rPr>
                <w:b/>
                <w:sz w:val="22"/>
              </w:rPr>
            </w:pPr>
          </w:p>
          <w:p>
            <w:pPr>
              <w:pStyle w:val="TableParagraph"/>
              <w:ind w:left="23"/>
              <w:rPr>
                <w:sz w:val="22"/>
              </w:rPr>
            </w:pPr>
            <w:r>
              <w:rPr>
                <w:sz w:val="22"/>
              </w:rPr>
              <w:t>Por</w:t>
            </w:r>
            <w:r>
              <w:rPr>
                <w:spacing w:val="-8"/>
                <w:sz w:val="22"/>
              </w:rPr>
              <w:t> </w:t>
            </w:r>
            <w:r>
              <w:rPr>
                <w:spacing w:val="-2"/>
                <w:sz w:val="22"/>
              </w:rPr>
              <w:t>ocorrência</w:t>
            </w:r>
          </w:p>
        </w:tc>
        <w:tc>
          <w:tcPr>
            <w:tcW w:w="3565" w:type="dxa"/>
          </w:tcPr>
          <w:p>
            <w:pPr>
              <w:pStyle w:val="TableParagraph"/>
              <w:rPr>
                <w:b/>
                <w:sz w:val="22"/>
              </w:rPr>
            </w:pPr>
          </w:p>
          <w:p>
            <w:pPr>
              <w:pStyle w:val="TableParagraph"/>
              <w:spacing w:before="59"/>
              <w:rPr>
                <w:b/>
                <w:sz w:val="22"/>
              </w:rPr>
            </w:pPr>
          </w:p>
          <w:p>
            <w:pPr>
              <w:pStyle w:val="TableParagraph"/>
              <w:ind w:left="23"/>
              <w:rPr>
                <w:sz w:val="22"/>
              </w:rPr>
            </w:pPr>
            <w:r>
              <w:rPr>
                <w:spacing w:val="-2"/>
                <w:sz w:val="22"/>
              </w:rPr>
              <w:t>Glosa</w:t>
            </w:r>
            <w:r>
              <w:rPr>
                <w:spacing w:val="-6"/>
                <w:sz w:val="22"/>
              </w:rPr>
              <w:t> </w:t>
            </w:r>
            <w:r>
              <w:rPr>
                <w:spacing w:val="-2"/>
                <w:sz w:val="22"/>
              </w:rPr>
              <w:t>proporcional</w:t>
            </w:r>
            <w:r>
              <w:rPr>
                <w:sz w:val="22"/>
              </w:rPr>
              <w:t> </w:t>
            </w:r>
            <w:r>
              <w:rPr>
                <w:spacing w:val="-5"/>
                <w:sz w:val="22"/>
              </w:rPr>
              <w:t>ao</w:t>
            </w:r>
          </w:p>
          <w:p>
            <w:pPr>
              <w:pStyle w:val="TableParagraph"/>
              <w:spacing w:line="259" w:lineRule="auto" w:before="20"/>
              <w:ind w:left="23"/>
              <w:rPr>
                <w:sz w:val="22"/>
              </w:rPr>
            </w:pPr>
            <w:r>
              <w:rPr>
                <w:sz w:val="22"/>
              </w:rPr>
              <w:t>período excedente ao prazo de substituição,</w:t>
            </w:r>
            <w:r>
              <w:rPr>
                <w:spacing w:val="-11"/>
                <w:sz w:val="22"/>
              </w:rPr>
              <w:t> </w:t>
            </w:r>
            <w:r>
              <w:rPr>
                <w:sz w:val="22"/>
              </w:rPr>
              <w:t>calculada</w:t>
            </w:r>
            <w:r>
              <w:rPr>
                <w:spacing w:val="-10"/>
                <w:sz w:val="22"/>
              </w:rPr>
              <w:t> </w:t>
            </w:r>
            <w:r>
              <w:rPr>
                <w:sz w:val="22"/>
              </w:rPr>
              <w:t>com</w:t>
            </w:r>
            <w:r>
              <w:rPr>
                <w:spacing w:val="-10"/>
                <w:sz w:val="22"/>
              </w:rPr>
              <w:t> </w:t>
            </w:r>
            <w:r>
              <w:rPr>
                <w:sz w:val="22"/>
              </w:rPr>
              <w:t>base</w:t>
            </w:r>
            <w:r>
              <w:rPr>
                <w:spacing w:val="-8"/>
                <w:sz w:val="22"/>
              </w:rPr>
              <w:t> </w:t>
            </w:r>
            <w:r>
              <w:rPr>
                <w:sz w:val="22"/>
              </w:rPr>
              <w:t>no VHH ou VMD do veículo afetado</w:t>
            </w:r>
          </w:p>
        </w:tc>
      </w:tr>
      <w:tr>
        <w:trPr>
          <w:trHeight w:val="2255" w:hRule="atLeast"/>
        </w:trPr>
        <w:tc>
          <w:tcPr>
            <w:tcW w:w="2127" w:type="dxa"/>
          </w:tcPr>
          <w:p>
            <w:pPr>
              <w:pStyle w:val="TableParagraph"/>
              <w:rPr>
                <w:b/>
                <w:sz w:val="22"/>
              </w:rPr>
            </w:pPr>
          </w:p>
          <w:p>
            <w:pPr>
              <w:pStyle w:val="TableParagraph"/>
              <w:rPr>
                <w:b/>
                <w:sz w:val="22"/>
              </w:rPr>
            </w:pPr>
          </w:p>
          <w:p>
            <w:pPr>
              <w:pStyle w:val="TableParagraph"/>
              <w:spacing w:before="79"/>
              <w:rPr>
                <w:b/>
                <w:sz w:val="22"/>
              </w:rPr>
            </w:pPr>
          </w:p>
          <w:p>
            <w:pPr>
              <w:pStyle w:val="TableParagraph"/>
              <w:spacing w:line="261" w:lineRule="auto"/>
              <w:ind w:left="23" w:right="114"/>
              <w:rPr>
                <w:b/>
                <w:sz w:val="22"/>
              </w:rPr>
            </w:pPr>
            <w:r>
              <w:rPr>
                <w:b/>
                <w:spacing w:val="-2"/>
                <w:sz w:val="22"/>
              </w:rPr>
              <w:t>Manutenção preventiva</w:t>
            </w:r>
            <w:r>
              <w:rPr>
                <w:b/>
                <w:spacing w:val="-11"/>
                <w:sz w:val="22"/>
              </w:rPr>
              <w:t> </w:t>
            </w:r>
            <w:r>
              <w:rPr>
                <w:b/>
                <w:spacing w:val="-2"/>
                <w:sz w:val="22"/>
              </w:rPr>
              <w:t>e</w:t>
            </w:r>
            <w:r>
              <w:rPr>
                <w:b/>
                <w:spacing w:val="-13"/>
                <w:sz w:val="22"/>
              </w:rPr>
              <w:t> </w:t>
            </w:r>
            <w:r>
              <w:rPr>
                <w:b/>
                <w:spacing w:val="-2"/>
                <w:sz w:val="22"/>
              </w:rPr>
              <w:t>corretiva</w:t>
            </w:r>
          </w:p>
        </w:tc>
        <w:tc>
          <w:tcPr>
            <w:tcW w:w="2835" w:type="dxa"/>
          </w:tcPr>
          <w:p>
            <w:pPr>
              <w:pStyle w:val="TableParagraph"/>
              <w:spacing w:before="184"/>
              <w:rPr>
                <w:b/>
                <w:sz w:val="22"/>
              </w:rPr>
            </w:pPr>
          </w:p>
          <w:p>
            <w:pPr>
              <w:pStyle w:val="TableParagraph"/>
              <w:spacing w:line="259" w:lineRule="auto"/>
              <w:ind w:left="25" w:right="331"/>
              <w:rPr>
                <w:sz w:val="22"/>
              </w:rPr>
            </w:pPr>
            <w:r>
              <w:rPr>
                <w:sz w:val="22"/>
              </w:rPr>
              <w:t>Realizar manutenção preventiva</w:t>
            </w:r>
            <w:r>
              <w:rPr>
                <w:spacing w:val="-13"/>
                <w:sz w:val="22"/>
              </w:rPr>
              <w:t> </w:t>
            </w:r>
            <w:r>
              <w:rPr>
                <w:sz w:val="22"/>
              </w:rPr>
              <w:t>conforme</w:t>
            </w:r>
            <w:r>
              <w:rPr>
                <w:spacing w:val="-12"/>
                <w:sz w:val="22"/>
              </w:rPr>
              <w:t> </w:t>
            </w:r>
            <w:r>
              <w:rPr>
                <w:sz w:val="22"/>
              </w:rPr>
              <w:t>plano do fabricante e manutenção corretiva sempre que necessário</w:t>
            </w:r>
          </w:p>
        </w:tc>
        <w:tc>
          <w:tcPr>
            <w:tcW w:w="1397" w:type="dxa"/>
          </w:tcPr>
          <w:p>
            <w:pPr>
              <w:pStyle w:val="TableParagraph"/>
              <w:rPr>
                <w:b/>
                <w:sz w:val="22"/>
              </w:rPr>
            </w:pPr>
          </w:p>
          <w:p>
            <w:pPr>
              <w:pStyle w:val="TableParagraph"/>
              <w:spacing w:before="206"/>
              <w:rPr>
                <w:b/>
                <w:sz w:val="22"/>
              </w:rPr>
            </w:pPr>
          </w:p>
          <w:p>
            <w:pPr>
              <w:pStyle w:val="TableParagraph"/>
              <w:spacing w:line="256" w:lineRule="auto"/>
              <w:ind w:left="23" w:right="69"/>
              <w:rPr>
                <w:sz w:val="22"/>
              </w:rPr>
            </w:pPr>
            <w:r>
              <w:rPr>
                <w:spacing w:val="-4"/>
                <w:sz w:val="22"/>
              </w:rPr>
              <w:t>Mensalmente </w:t>
            </w:r>
            <w:r>
              <w:rPr>
                <w:sz w:val="22"/>
              </w:rPr>
              <w:t>e por </w:t>
            </w:r>
            <w:r>
              <w:rPr>
                <w:spacing w:val="-2"/>
                <w:sz w:val="22"/>
              </w:rPr>
              <w:t>ocorrência</w:t>
            </w:r>
          </w:p>
        </w:tc>
        <w:tc>
          <w:tcPr>
            <w:tcW w:w="3565" w:type="dxa"/>
          </w:tcPr>
          <w:p>
            <w:pPr>
              <w:pStyle w:val="TableParagraph"/>
              <w:spacing w:line="259" w:lineRule="auto" w:before="16"/>
              <w:ind w:left="23" w:right="-15"/>
              <w:rPr>
                <w:sz w:val="22"/>
              </w:rPr>
            </w:pPr>
            <w:r>
              <w:rPr>
                <w:sz w:val="22"/>
              </w:rPr>
              <w:t>Se a falha gerar indisponibilidade, aplica-se</w:t>
            </w:r>
            <w:r>
              <w:rPr>
                <w:spacing w:val="-13"/>
                <w:sz w:val="22"/>
              </w:rPr>
              <w:t> </w:t>
            </w:r>
            <w:r>
              <w:rPr>
                <w:sz w:val="22"/>
              </w:rPr>
              <w:t>glosa</w:t>
            </w:r>
            <w:r>
              <w:rPr>
                <w:spacing w:val="-12"/>
                <w:sz w:val="22"/>
              </w:rPr>
              <w:t> </w:t>
            </w:r>
            <w:r>
              <w:rPr>
                <w:sz w:val="22"/>
              </w:rPr>
              <w:t>por</w:t>
            </w:r>
            <w:r>
              <w:rPr>
                <w:spacing w:val="-13"/>
                <w:sz w:val="22"/>
              </w:rPr>
              <w:t> </w:t>
            </w:r>
            <w:r>
              <w:rPr>
                <w:sz w:val="22"/>
              </w:rPr>
              <w:t>indisponibilidade.</w:t>
            </w:r>
            <w:r>
              <w:rPr>
                <w:spacing w:val="-12"/>
                <w:sz w:val="22"/>
              </w:rPr>
              <w:t> </w:t>
            </w:r>
            <w:r>
              <w:rPr>
                <w:sz w:val="22"/>
              </w:rPr>
              <w:t>Se não gerar indisponibilidade, mas houver atraso ou falha comprovada, glosa</w:t>
            </w:r>
            <w:r>
              <w:rPr>
                <w:spacing w:val="-3"/>
                <w:sz w:val="22"/>
              </w:rPr>
              <w:t> </w:t>
            </w:r>
            <w:r>
              <w:rPr>
                <w:sz w:val="22"/>
              </w:rPr>
              <w:t>de</w:t>
            </w:r>
            <w:r>
              <w:rPr>
                <w:spacing w:val="-5"/>
                <w:sz w:val="22"/>
              </w:rPr>
              <w:t> </w:t>
            </w:r>
            <w:r>
              <w:rPr>
                <w:sz w:val="22"/>
              </w:rPr>
              <w:t>até</w:t>
            </w:r>
            <w:r>
              <w:rPr>
                <w:spacing w:val="-5"/>
                <w:sz w:val="22"/>
              </w:rPr>
              <w:t> </w:t>
            </w:r>
            <w:r>
              <w:rPr>
                <w:sz w:val="22"/>
              </w:rPr>
              <w:t>2%</w:t>
            </w:r>
            <w:r>
              <w:rPr>
                <w:spacing w:val="-2"/>
                <w:sz w:val="22"/>
              </w:rPr>
              <w:t> </w:t>
            </w:r>
            <w:r>
              <w:rPr>
                <w:sz w:val="22"/>
              </w:rPr>
              <w:t>do</w:t>
            </w:r>
            <w:r>
              <w:rPr>
                <w:spacing w:val="-5"/>
                <w:sz w:val="22"/>
              </w:rPr>
              <w:t> </w:t>
            </w:r>
            <w:r>
              <w:rPr>
                <w:sz w:val="22"/>
              </w:rPr>
              <w:t>VMV</w:t>
            </w:r>
            <w:r>
              <w:rPr>
                <w:spacing w:val="-3"/>
                <w:sz w:val="22"/>
              </w:rPr>
              <w:t> </w:t>
            </w:r>
            <w:r>
              <w:rPr>
                <w:sz w:val="22"/>
              </w:rPr>
              <w:t>por</w:t>
            </w:r>
            <w:r>
              <w:rPr>
                <w:spacing w:val="-3"/>
                <w:sz w:val="22"/>
              </w:rPr>
              <w:t> </w:t>
            </w:r>
            <w:r>
              <w:rPr>
                <w:sz w:val="22"/>
              </w:rPr>
              <w:t>ocorrência</w:t>
            </w:r>
          </w:p>
        </w:tc>
      </w:tr>
      <w:tr>
        <w:trPr>
          <w:trHeight w:val="2505" w:hRule="atLeast"/>
        </w:trPr>
        <w:tc>
          <w:tcPr>
            <w:tcW w:w="2127" w:type="dxa"/>
          </w:tcPr>
          <w:p>
            <w:pPr>
              <w:pStyle w:val="TableParagraph"/>
              <w:rPr>
                <w:b/>
                <w:sz w:val="22"/>
              </w:rPr>
            </w:pPr>
          </w:p>
          <w:p>
            <w:pPr>
              <w:pStyle w:val="TableParagraph"/>
              <w:rPr>
                <w:b/>
                <w:sz w:val="22"/>
              </w:rPr>
            </w:pPr>
          </w:p>
          <w:p>
            <w:pPr>
              <w:pStyle w:val="TableParagraph"/>
              <w:spacing w:before="78"/>
              <w:rPr>
                <w:b/>
                <w:sz w:val="22"/>
              </w:rPr>
            </w:pPr>
          </w:p>
          <w:p>
            <w:pPr>
              <w:pStyle w:val="TableParagraph"/>
              <w:spacing w:line="256" w:lineRule="auto" w:before="1"/>
              <w:ind w:left="23"/>
              <w:rPr>
                <w:b/>
                <w:sz w:val="22"/>
              </w:rPr>
            </w:pPr>
            <w:r>
              <w:rPr>
                <w:b/>
                <w:spacing w:val="-2"/>
                <w:sz w:val="22"/>
              </w:rPr>
              <w:t>Pneus,</w:t>
            </w:r>
            <w:r>
              <w:rPr>
                <w:b/>
                <w:spacing w:val="-11"/>
                <w:sz w:val="22"/>
              </w:rPr>
              <w:t> </w:t>
            </w:r>
            <w:r>
              <w:rPr>
                <w:b/>
                <w:spacing w:val="-2"/>
                <w:sz w:val="22"/>
              </w:rPr>
              <w:t>alinhamento</w:t>
            </w:r>
            <w:r>
              <w:rPr>
                <w:b/>
                <w:spacing w:val="-13"/>
                <w:sz w:val="22"/>
              </w:rPr>
              <w:t> </w:t>
            </w:r>
            <w:r>
              <w:rPr>
                <w:b/>
                <w:spacing w:val="-2"/>
                <w:sz w:val="22"/>
              </w:rPr>
              <w:t>e balanceamento</w:t>
            </w:r>
          </w:p>
        </w:tc>
        <w:tc>
          <w:tcPr>
            <w:tcW w:w="2835" w:type="dxa"/>
          </w:tcPr>
          <w:p>
            <w:pPr>
              <w:pStyle w:val="TableParagraph"/>
              <w:rPr>
                <w:b/>
                <w:sz w:val="22"/>
              </w:rPr>
            </w:pPr>
          </w:p>
          <w:p>
            <w:pPr>
              <w:pStyle w:val="TableParagraph"/>
              <w:spacing w:before="59"/>
              <w:rPr>
                <w:b/>
                <w:sz w:val="22"/>
              </w:rPr>
            </w:pPr>
          </w:p>
          <w:p>
            <w:pPr>
              <w:pStyle w:val="TableParagraph"/>
              <w:spacing w:line="259" w:lineRule="auto"/>
              <w:ind w:left="25" w:right="80"/>
              <w:rPr>
                <w:sz w:val="22"/>
              </w:rPr>
            </w:pPr>
            <w:r>
              <w:rPr>
                <w:sz w:val="22"/>
              </w:rPr>
              <w:t>Manter</w:t>
            </w:r>
            <w:r>
              <w:rPr>
                <w:spacing w:val="-14"/>
                <w:sz w:val="22"/>
              </w:rPr>
              <w:t> </w:t>
            </w:r>
            <w:r>
              <w:rPr>
                <w:sz w:val="22"/>
              </w:rPr>
              <w:t>pneus</w:t>
            </w:r>
            <w:r>
              <w:rPr>
                <w:spacing w:val="-15"/>
                <w:sz w:val="22"/>
              </w:rPr>
              <w:t> </w:t>
            </w:r>
            <w:r>
              <w:rPr>
                <w:sz w:val="22"/>
              </w:rPr>
              <w:t>e</w:t>
            </w:r>
            <w:r>
              <w:rPr>
                <w:spacing w:val="-13"/>
                <w:sz w:val="22"/>
              </w:rPr>
              <w:t> </w:t>
            </w:r>
            <w:r>
              <w:rPr>
                <w:sz w:val="22"/>
              </w:rPr>
              <w:t>demais</w:t>
            </w:r>
            <w:r>
              <w:rPr>
                <w:spacing w:val="-12"/>
                <w:sz w:val="22"/>
              </w:rPr>
              <w:t> </w:t>
            </w:r>
            <w:r>
              <w:rPr>
                <w:sz w:val="22"/>
              </w:rPr>
              <w:t>itens de rodagem em condições regulares de segurança</w:t>
            </w:r>
          </w:p>
        </w:tc>
        <w:tc>
          <w:tcPr>
            <w:tcW w:w="1397" w:type="dxa"/>
          </w:tcPr>
          <w:p>
            <w:pPr>
              <w:pStyle w:val="TableParagraph"/>
              <w:rPr>
                <w:b/>
                <w:sz w:val="22"/>
              </w:rPr>
            </w:pPr>
          </w:p>
          <w:p>
            <w:pPr>
              <w:pStyle w:val="TableParagraph"/>
              <w:spacing w:before="205"/>
              <w:rPr>
                <w:b/>
                <w:sz w:val="22"/>
              </w:rPr>
            </w:pPr>
          </w:p>
          <w:p>
            <w:pPr>
              <w:pStyle w:val="TableParagraph"/>
              <w:spacing w:line="256" w:lineRule="auto" w:before="1"/>
              <w:ind w:left="23" w:right="69"/>
              <w:rPr>
                <w:sz w:val="22"/>
              </w:rPr>
            </w:pPr>
            <w:r>
              <w:rPr>
                <w:spacing w:val="-4"/>
                <w:sz w:val="22"/>
              </w:rPr>
              <w:t>Mensalmente </w:t>
            </w:r>
            <w:r>
              <w:rPr>
                <w:sz w:val="22"/>
              </w:rPr>
              <w:t>e por </w:t>
            </w:r>
            <w:r>
              <w:rPr>
                <w:spacing w:val="-2"/>
                <w:sz w:val="22"/>
              </w:rPr>
              <w:t>ocorrência</w:t>
            </w:r>
          </w:p>
        </w:tc>
        <w:tc>
          <w:tcPr>
            <w:tcW w:w="3565" w:type="dxa"/>
          </w:tcPr>
          <w:p>
            <w:pPr>
              <w:pStyle w:val="TableParagraph"/>
              <w:spacing w:before="15"/>
              <w:ind w:left="23"/>
              <w:rPr>
                <w:sz w:val="22"/>
              </w:rPr>
            </w:pPr>
            <w:r>
              <w:rPr>
                <w:sz w:val="22"/>
              </w:rPr>
              <w:t>Veículo</w:t>
            </w:r>
            <w:r>
              <w:rPr>
                <w:spacing w:val="-12"/>
                <w:sz w:val="22"/>
              </w:rPr>
              <w:t> </w:t>
            </w:r>
            <w:r>
              <w:rPr>
                <w:sz w:val="22"/>
              </w:rPr>
              <w:t>sem</w:t>
            </w:r>
            <w:r>
              <w:rPr>
                <w:spacing w:val="-12"/>
                <w:sz w:val="22"/>
              </w:rPr>
              <w:t> </w:t>
            </w:r>
            <w:r>
              <w:rPr>
                <w:spacing w:val="-2"/>
                <w:sz w:val="22"/>
              </w:rPr>
              <w:t>condição</w:t>
            </w:r>
          </w:p>
          <w:p>
            <w:pPr>
              <w:pStyle w:val="TableParagraph"/>
              <w:spacing w:line="259" w:lineRule="auto" w:before="20"/>
              <w:ind w:left="23" w:right="154"/>
              <w:rPr>
                <w:sz w:val="22"/>
              </w:rPr>
            </w:pPr>
            <w:r>
              <w:rPr>
                <w:sz w:val="22"/>
              </w:rPr>
              <w:t>segura</w:t>
            </w:r>
            <w:r>
              <w:rPr>
                <w:spacing w:val="-13"/>
                <w:sz w:val="22"/>
              </w:rPr>
              <w:t> </w:t>
            </w:r>
            <w:r>
              <w:rPr>
                <w:sz w:val="22"/>
              </w:rPr>
              <w:t>de</w:t>
            </w:r>
            <w:r>
              <w:rPr>
                <w:spacing w:val="-12"/>
                <w:sz w:val="22"/>
              </w:rPr>
              <w:t> </w:t>
            </w:r>
            <w:r>
              <w:rPr>
                <w:sz w:val="22"/>
              </w:rPr>
              <w:t>circulação</w:t>
            </w:r>
            <w:r>
              <w:rPr>
                <w:spacing w:val="-13"/>
                <w:sz w:val="22"/>
              </w:rPr>
              <w:t> </w:t>
            </w:r>
            <w:r>
              <w:rPr>
                <w:sz w:val="22"/>
              </w:rPr>
              <w:t>será</w:t>
            </w:r>
            <w:r>
              <w:rPr>
                <w:spacing w:val="-12"/>
                <w:sz w:val="22"/>
              </w:rPr>
              <w:t> </w:t>
            </w:r>
            <w:r>
              <w:rPr>
                <w:sz w:val="22"/>
              </w:rPr>
              <w:t>considerado indisponível. Poderá haver glosa proporcional até a</w:t>
            </w:r>
          </w:p>
          <w:p>
            <w:pPr>
              <w:pStyle w:val="TableParagraph"/>
              <w:spacing w:line="259" w:lineRule="auto" w:before="1"/>
              <w:ind w:left="23"/>
              <w:rPr>
                <w:sz w:val="22"/>
              </w:rPr>
            </w:pPr>
            <w:r>
              <w:rPr>
                <w:sz w:val="22"/>
              </w:rPr>
              <w:t>regularização,</w:t>
            </w:r>
            <w:r>
              <w:rPr>
                <w:spacing w:val="-13"/>
                <w:sz w:val="22"/>
              </w:rPr>
              <w:t> </w:t>
            </w:r>
            <w:r>
              <w:rPr>
                <w:sz w:val="22"/>
              </w:rPr>
              <w:t>sem</w:t>
            </w:r>
            <w:r>
              <w:rPr>
                <w:spacing w:val="-9"/>
                <w:sz w:val="22"/>
              </w:rPr>
              <w:t> </w:t>
            </w:r>
            <w:r>
              <w:rPr>
                <w:sz w:val="22"/>
              </w:rPr>
              <w:t>prejuízo</w:t>
            </w:r>
            <w:r>
              <w:rPr>
                <w:spacing w:val="-11"/>
                <w:sz w:val="22"/>
              </w:rPr>
              <w:t> </w:t>
            </w:r>
            <w:r>
              <w:rPr>
                <w:sz w:val="22"/>
              </w:rPr>
              <w:t>de</w:t>
            </w:r>
            <w:r>
              <w:rPr>
                <w:spacing w:val="-13"/>
                <w:sz w:val="22"/>
              </w:rPr>
              <w:t> </w:t>
            </w:r>
            <w:r>
              <w:rPr>
                <w:sz w:val="22"/>
              </w:rPr>
              <w:t>sanções em caso de risco à segurança</w:t>
            </w:r>
          </w:p>
        </w:tc>
      </w:tr>
      <w:tr>
        <w:trPr>
          <w:trHeight w:val="2224" w:hRule="atLeast"/>
        </w:trPr>
        <w:tc>
          <w:tcPr>
            <w:tcW w:w="2127" w:type="dxa"/>
          </w:tcPr>
          <w:p>
            <w:pPr>
              <w:pStyle w:val="TableParagraph"/>
              <w:rPr>
                <w:b/>
                <w:sz w:val="22"/>
              </w:rPr>
            </w:pPr>
          </w:p>
          <w:p>
            <w:pPr>
              <w:pStyle w:val="TableParagraph"/>
              <w:spacing w:before="208"/>
              <w:rPr>
                <w:b/>
                <w:sz w:val="22"/>
              </w:rPr>
            </w:pPr>
          </w:p>
          <w:p>
            <w:pPr>
              <w:pStyle w:val="TableParagraph"/>
              <w:spacing w:line="256" w:lineRule="auto"/>
              <w:ind w:left="23"/>
              <w:rPr>
                <w:b/>
                <w:sz w:val="22"/>
              </w:rPr>
            </w:pPr>
            <w:r>
              <w:rPr>
                <w:b/>
                <w:spacing w:val="-4"/>
                <w:sz w:val="22"/>
              </w:rPr>
              <w:t>Rastreamento</w:t>
            </w:r>
            <w:r>
              <w:rPr>
                <w:b/>
                <w:spacing w:val="-13"/>
                <w:sz w:val="22"/>
              </w:rPr>
              <w:t> </w:t>
            </w:r>
            <w:r>
              <w:rPr>
                <w:b/>
                <w:spacing w:val="-4"/>
                <w:sz w:val="22"/>
              </w:rPr>
              <w:t>e </w:t>
            </w:r>
            <w:r>
              <w:rPr>
                <w:b/>
                <w:spacing w:val="-2"/>
                <w:sz w:val="22"/>
              </w:rPr>
              <w:t>telemetria</w:t>
            </w:r>
          </w:p>
        </w:tc>
        <w:tc>
          <w:tcPr>
            <w:tcW w:w="2835" w:type="dxa"/>
          </w:tcPr>
          <w:p>
            <w:pPr>
              <w:pStyle w:val="TableParagraph"/>
              <w:rPr>
                <w:b/>
                <w:sz w:val="22"/>
              </w:rPr>
            </w:pPr>
          </w:p>
          <w:p>
            <w:pPr>
              <w:pStyle w:val="TableParagraph"/>
              <w:spacing w:before="59"/>
              <w:rPr>
                <w:b/>
                <w:sz w:val="22"/>
              </w:rPr>
            </w:pPr>
          </w:p>
          <w:p>
            <w:pPr>
              <w:pStyle w:val="TableParagraph"/>
              <w:spacing w:line="259" w:lineRule="auto"/>
              <w:ind w:left="25" w:right="331"/>
              <w:rPr>
                <w:sz w:val="22"/>
              </w:rPr>
            </w:pPr>
            <w:r>
              <w:rPr>
                <w:sz w:val="22"/>
              </w:rPr>
              <w:t>Manter sistema ativo, </w:t>
            </w:r>
            <w:r>
              <w:rPr>
                <w:spacing w:val="-2"/>
                <w:sz w:val="22"/>
              </w:rPr>
              <w:t>acessível</w:t>
            </w:r>
            <w:r>
              <w:rPr>
                <w:spacing w:val="-11"/>
                <w:sz w:val="22"/>
              </w:rPr>
              <w:t> </w:t>
            </w:r>
            <w:r>
              <w:rPr>
                <w:spacing w:val="-2"/>
                <w:sz w:val="22"/>
              </w:rPr>
              <w:t>e</w:t>
            </w:r>
            <w:r>
              <w:rPr>
                <w:spacing w:val="-8"/>
                <w:sz w:val="22"/>
              </w:rPr>
              <w:t> </w:t>
            </w:r>
            <w:r>
              <w:rPr>
                <w:spacing w:val="-2"/>
                <w:sz w:val="22"/>
              </w:rPr>
              <w:t>com</w:t>
            </w:r>
            <w:r>
              <w:rPr>
                <w:spacing w:val="-10"/>
                <w:sz w:val="22"/>
              </w:rPr>
              <w:t> </w:t>
            </w:r>
            <w:r>
              <w:rPr>
                <w:spacing w:val="-2"/>
                <w:sz w:val="22"/>
              </w:rPr>
              <w:t>relatórios </w:t>
            </w:r>
            <w:r>
              <w:rPr>
                <w:sz w:val="22"/>
              </w:rPr>
              <w:t>disponíveis à fiscalização</w:t>
            </w:r>
          </w:p>
        </w:tc>
        <w:tc>
          <w:tcPr>
            <w:tcW w:w="1397" w:type="dxa"/>
          </w:tcPr>
          <w:p>
            <w:pPr>
              <w:pStyle w:val="TableParagraph"/>
              <w:rPr>
                <w:b/>
                <w:sz w:val="22"/>
              </w:rPr>
            </w:pPr>
          </w:p>
          <w:p>
            <w:pPr>
              <w:pStyle w:val="TableParagraph"/>
              <w:spacing w:before="59"/>
              <w:rPr>
                <w:b/>
                <w:sz w:val="22"/>
              </w:rPr>
            </w:pPr>
          </w:p>
          <w:p>
            <w:pPr>
              <w:pStyle w:val="TableParagraph"/>
              <w:spacing w:line="261" w:lineRule="auto"/>
              <w:ind w:left="23" w:right="69"/>
              <w:rPr>
                <w:sz w:val="22"/>
              </w:rPr>
            </w:pPr>
            <w:r>
              <w:rPr>
                <w:spacing w:val="-4"/>
                <w:sz w:val="22"/>
              </w:rPr>
              <w:t>Mensalmente </w:t>
            </w:r>
            <w:r>
              <w:rPr>
                <w:sz w:val="22"/>
              </w:rPr>
              <w:t>e por </w:t>
            </w:r>
            <w:r>
              <w:rPr>
                <w:spacing w:val="-2"/>
                <w:sz w:val="22"/>
              </w:rPr>
              <w:t>ocorrência</w:t>
            </w:r>
          </w:p>
        </w:tc>
        <w:tc>
          <w:tcPr>
            <w:tcW w:w="3565" w:type="dxa"/>
          </w:tcPr>
          <w:p>
            <w:pPr>
              <w:pStyle w:val="TableParagraph"/>
              <w:spacing w:line="259" w:lineRule="auto" w:before="20"/>
              <w:ind w:left="23" w:right="12"/>
              <w:rPr>
                <w:sz w:val="22"/>
              </w:rPr>
            </w:pPr>
            <w:r>
              <w:rPr>
                <w:sz w:val="22"/>
              </w:rPr>
              <w:t>Falha</w:t>
            </w:r>
            <w:r>
              <w:rPr>
                <w:spacing w:val="-13"/>
                <w:sz w:val="22"/>
              </w:rPr>
              <w:t> </w:t>
            </w:r>
            <w:r>
              <w:rPr>
                <w:sz w:val="22"/>
              </w:rPr>
              <w:t>não</w:t>
            </w:r>
            <w:r>
              <w:rPr>
                <w:spacing w:val="-7"/>
                <w:sz w:val="22"/>
              </w:rPr>
              <w:t> </w:t>
            </w:r>
            <w:r>
              <w:rPr>
                <w:sz w:val="22"/>
              </w:rPr>
              <w:t>regularizada</w:t>
            </w:r>
            <w:r>
              <w:rPr>
                <w:spacing w:val="-8"/>
                <w:sz w:val="22"/>
              </w:rPr>
              <w:t> </w:t>
            </w:r>
            <w:r>
              <w:rPr>
                <w:sz w:val="22"/>
              </w:rPr>
              <w:t>em</w:t>
            </w:r>
            <w:r>
              <w:rPr>
                <w:spacing w:val="-9"/>
                <w:sz w:val="22"/>
              </w:rPr>
              <w:t> </w:t>
            </w:r>
            <w:r>
              <w:rPr>
                <w:sz w:val="22"/>
              </w:rPr>
              <w:t>até</w:t>
            </w:r>
            <w:r>
              <w:rPr>
                <w:spacing w:val="-13"/>
                <w:sz w:val="22"/>
              </w:rPr>
              <w:t> </w:t>
            </w:r>
            <w:r>
              <w:rPr>
                <w:sz w:val="22"/>
              </w:rPr>
              <w:t>24</w:t>
            </w:r>
            <w:r>
              <w:rPr>
                <w:spacing w:val="-12"/>
                <w:sz w:val="22"/>
              </w:rPr>
              <w:t> </w:t>
            </w:r>
            <w:r>
              <w:rPr>
                <w:sz w:val="22"/>
              </w:rPr>
              <w:t>horas poderá ensejar glosa de até 0,5% do VMV por dia de falha, limitada a 10% do VMV no mês, sem prejuízo de sanções em caso de reincidência</w:t>
            </w:r>
          </w:p>
        </w:tc>
      </w:tr>
      <w:tr>
        <w:trPr>
          <w:trHeight w:val="2942" w:hRule="atLeast"/>
        </w:trPr>
        <w:tc>
          <w:tcPr>
            <w:tcW w:w="2127" w:type="dxa"/>
          </w:tcPr>
          <w:p>
            <w:pPr>
              <w:pStyle w:val="TableParagraph"/>
              <w:rPr>
                <w:b/>
                <w:sz w:val="22"/>
              </w:rPr>
            </w:pPr>
          </w:p>
          <w:p>
            <w:pPr>
              <w:pStyle w:val="TableParagraph"/>
              <w:spacing w:before="204"/>
              <w:rPr>
                <w:b/>
                <w:sz w:val="22"/>
              </w:rPr>
            </w:pPr>
          </w:p>
          <w:p>
            <w:pPr>
              <w:pStyle w:val="TableParagraph"/>
              <w:spacing w:line="254" w:lineRule="auto"/>
              <w:ind w:left="23"/>
              <w:rPr>
                <w:b/>
                <w:sz w:val="22"/>
              </w:rPr>
            </w:pPr>
            <w:r>
              <w:rPr>
                <w:b/>
                <w:spacing w:val="-2"/>
                <w:sz w:val="22"/>
              </w:rPr>
              <w:t>Seguro</w:t>
            </w:r>
            <w:r>
              <w:rPr>
                <w:b/>
                <w:spacing w:val="-12"/>
                <w:sz w:val="22"/>
              </w:rPr>
              <w:t> </w:t>
            </w:r>
            <w:r>
              <w:rPr>
                <w:b/>
                <w:spacing w:val="-2"/>
                <w:sz w:val="22"/>
              </w:rPr>
              <w:t>ou</w:t>
            </w:r>
            <w:r>
              <w:rPr>
                <w:b/>
                <w:spacing w:val="-13"/>
                <w:sz w:val="22"/>
              </w:rPr>
              <w:t> </w:t>
            </w:r>
            <w:r>
              <w:rPr>
                <w:b/>
                <w:spacing w:val="-2"/>
                <w:sz w:val="22"/>
              </w:rPr>
              <w:t>cobertura equivalente</w:t>
            </w:r>
          </w:p>
        </w:tc>
        <w:tc>
          <w:tcPr>
            <w:tcW w:w="2835" w:type="dxa"/>
          </w:tcPr>
          <w:p>
            <w:pPr>
              <w:pStyle w:val="TableParagraph"/>
              <w:spacing w:before="182"/>
              <w:rPr>
                <w:b/>
                <w:sz w:val="22"/>
              </w:rPr>
            </w:pPr>
          </w:p>
          <w:p>
            <w:pPr>
              <w:pStyle w:val="TableParagraph"/>
              <w:spacing w:line="259" w:lineRule="auto"/>
              <w:ind w:left="25" w:right="248"/>
              <w:jc w:val="both"/>
              <w:rPr>
                <w:sz w:val="22"/>
              </w:rPr>
            </w:pPr>
            <w:r>
              <w:rPr>
                <w:sz w:val="22"/>
              </w:rPr>
              <w:t>Manter</w:t>
            </w:r>
            <w:r>
              <w:rPr>
                <w:spacing w:val="-13"/>
                <w:sz w:val="22"/>
              </w:rPr>
              <w:t> </w:t>
            </w:r>
            <w:r>
              <w:rPr>
                <w:sz w:val="22"/>
              </w:rPr>
              <w:t>seguro</w:t>
            </w:r>
            <w:r>
              <w:rPr>
                <w:spacing w:val="-12"/>
                <w:sz w:val="22"/>
              </w:rPr>
              <w:t> </w:t>
            </w:r>
            <w:r>
              <w:rPr>
                <w:sz w:val="22"/>
              </w:rPr>
              <w:t>ou</w:t>
            </w:r>
            <w:r>
              <w:rPr>
                <w:spacing w:val="-13"/>
                <w:sz w:val="22"/>
              </w:rPr>
              <w:t> </w:t>
            </w:r>
            <w:r>
              <w:rPr>
                <w:sz w:val="22"/>
              </w:rPr>
              <w:t>cobertura equivalente</w:t>
            </w:r>
            <w:r>
              <w:rPr>
                <w:spacing w:val="-13"/>
                <w:sz w:val="22"/>
              </w:rPr>
              <w:t> </w:t>
            </w:r>
            <w:r>
              <w:rPr>
                <w:sz w:val="22"/>
              </w:rPr>
              <w:t>vigente</w:t>
            </w:r>
            <w:r>
              <w:rPr>
                <w:spacing w:val="-12"/>
                <w:sz w:val="22"/>
              </w:rPr>
              <w:t> </w:t>
            </w:r>
            <w:r>
              <w:rPr>
                <w:sz w:val="22"/>
              </w:rPr>
              <w:t>durante toda a execução contratual</w:t>
            </w:r>
          </w:p>
        </w:tc>
        <w:tc>
          <w:tcPr>
            <w:tcW w:w="1397" w:type="dxa"/>
          </w:tcPr>
          <w:p>
            <w:pPr>
              <w:pStyle w:val="TableParagraph"/>
              <w:rPr>
                <w:b/>
                <w:sz w:val="22"/>
              </w:rPr>
            </w:pPr>
          </w:p>
          <w:p>
            <w:pPr>
              <w:pStyle w:val="TableParagraph"/>
              <w:spacing w:before="57"/>
              <w:rPr>
                <w:b/>
                <w:sz w:val="22"/>
              </w:rPr>
            </w:pPr>
          </w:p>
          <w:p>
            <w:pPr>
              <w:pStyle w:val="TableParagraph"/>
              <w:spacing w:line="259" w:lineRule="auto"/>
              <w:ind w:left="23"/>
              <w:rPr>
                <w:sz w:val="22"/>
              </w:rPr>
            </w:pPr>
            <w:r>
              <w:rPr>
                <w:spacing w:val="-4"/>
                <w:sz w:val="22"/>
              </w:rPr>
              <w:t>Mensalmente </w:t>
            </w:r>
            <w:r>
              <w:rPr>
                <w:sz w:val="22"/>
              </w:rPr>
              <w:t>ou quando </w:t>
            </w:r>
            <w:r>
              <w:rPr>
                <w:spacing w:val="-2"/>
                <w:sz w:val="22"/>
              </w:rPr>
              <w:t>solicitado</w:t>
            </w:r>
          </w:p>
        </w:tc>
        <w:tc>
          <w:tcPr>
            <w:tcW w:w="3565" w:type="dxa"/>
          </w:tcPr>
          <w:p>
            <w:pPr>
              <w:pStyle w:val="TableParagraph"/>
              <w:spacing w:line="259" w:lineRule="auto" w:before="13"/>
              <w:ind w:left="23" w:right="246"/>
              <w:rPr>
                <w:sz w:val="22"/>
              </w:rPr>
            </w:pPr>
            <w:r>
              <w:rPr>
                <w:sz w:val="22"/>
              </w:rPr>
              <w:t>Ausência de comprovação poderá sobrestar</w:t>
            </w:r>
            <w:r>
              <w:rPr>
                <w:spacing w:val="-13"/>
                <w:sz w:val="22"/>
              </w:rPr>
              <w:t> </w:t>
            </w:r>
            <w:r>
              <w:rPr>
                <w:sz w:val="22"/>
              </w:rPr>
              <w:t>o</w:t>
            </w:r>
            <w:r>
              <w:rPr>
                <w:spacing w:val="-12"/>
                <w:sz w:val="22"/>
              </w:rPr>
              <w:t> </w:t>
            </w:r>
            <w:r>
              <w:rPr>
                <w:sz w:val="22"/>
              </w:rPr>
              <w:t>atesto</w:t>
            </w:r>
            <w:r>
              <w:rPr>
                <w:spacing w:val="-12"/>
                <w:sz w:val="22"/>
              </w:rPr>
              <w:t> </w:t>
            </w:r>
            <w:r>
              <w:rPr>
                <w:sz w:val="22"/>
              </w:rPr>
              <w:t>até</w:t>
            </w:r>
            <w:r>
              <w:rPr>
                <w:spacing w:val="-13"/>
                <w:sz w:val="22"/>
              </w:rPr>
              <w:t> </w:t>
            </w:r>
            <w:r>
              <w:rPr>
                <w:sz w:val="22"/>
              </w:rPr>
              <w:t>regularização. Ausência de cobertura vigente poderá ensejar glosa, retirada do veículo</w:t>
            </w:r>
            <w:r>
              <w:rPr>
                <w:spacing w:val="-7"/>
                <w:sz w:val="22"/>
              </w:rPr>
              <w:t> </w:t>
            </w:r>
            <w:r>
              <w:rPr>
                <w:sz w:val="22"/>
              </w:rPr>
              <w:t>de</w:t>
            </w:r>
          </w:p>
          <w:p>
            <w:pPr>
              <w:pStyle w:val="TableParagraph"/>
              <w:spacing w:line="266" w:lineRule="exact"/>
              <w:ind w:left="23"/>
              <w:rPr>
                <w:sz w:val="22"/>
              </w:rPr>
            </w:pPr>
            <w:r>
              <w:rPr>
                <w:spacing w:val="-2"/>
                <w:sz w:val="22"/>
              </w:rPr>
              <w:t>operação</w:t>
            </w:r>
            <w:r>
              <w:rPr>
                <w:spacing w:val="-4"/>
                <w:sz w:val="22"/>
              </w:rPr>
              <w:t> </w:t>
            </w:r>
            <w:r>
              <w:rPr>
                <w:spacing w:val="-2"/>
                <w:sz w:val="22"/>
              </w:rPr>
              <w:t>e sanções cabíveis</w:t>
            </w:r>
          </w:p>
        </w:tc>
      </w:tr>
    </w:tbl>
    <w:p>
      <w:pPr>
        <w:pStyle w:val="TableParagraph"/>
        <w:spacing w:after="0" w:line="266" w:lineRule="exact"/>
        <w:rPr>
          <w:sz w:val="22"/>
        </w:rPr>
        <w:sectPr>
          <w:type w:val="continuous"/>
          <w:pgSz w:w="11920" w:h="16850"/>
          <w:pgMar w:top="1360" w:bottom="1505" w:left="1133" w:right="566"/>
        </w:sectPr>
      </w:pPr>
    </w:p>
    <w:tbl>
      <w:tblPr>
        <w:tblW w:w="0" w:type="auto"/>
        <w:jc w:val="left"/>
        <w:tblInd w:w="1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127"/>
        <w:gridCol w:w="2835"/>
        <w:gridCol w:w="1397"/>
        <w:gridCol w:w="3565"/>
      </w:tblGrid>
      <w:tr>
        <w:trPr>
          <w:trHeight w:val="693" w:hRule="atLeast"/>
        </w:trPr>
        <w:tc>
          <w:tcPr>
            <w:tcW w:w="2127" w:type="dxa"/>
          </w:tcPr>
          <w:p>
            <w:pPr>
              <w:pStyle w:val="TableParagraph"/>
              <w:spacing w:before="162"/>
              <w:ind w:left="645"/>
              <w:rPr>
                <w:b/>
                <w:sz w:val="22"/>
              </w:rPr>
            </w:pPr>
            <w:r>
              <w:rPr>
                <w:b/>
                <w:spacing w:val="-2"/>
                <w:sz w:val="22"/>
              </w:rPr>
              <w:t>Indicador</w:t>
            </w:r>
          </w:p>
        </w:tc>
        <w:tc>
          <w:tcPr>
            <w:tcW w:w="2835" w:type="dxa"/>
          </w:tcPr>
          <w:p>
            <w:pPr>
              <w:pStyle w:val="TableParagraph"/>
              <w:spacing w:before="162"/>
              <w:ind w:left="618"/>
              <w:rPr>
                <w:b/>
                <w:sz w:val="22"/>
              </w:rPr>
            </w:pPr>
            <w:r>
              <w:rPr>
                <w:b/>
                <w:sz w:val="22"/>
              </w:rPr>
              <w:t>Meta</w:t>
            </w:r>
            <w:r>
              <w:rPr>
                <w:b/>
                <w:spacing w:val="-12"/>
                <w:sz w:val="22"/>
              </w:rPr>
              <w:t> </w:t>
            </w:r>
            <w:r>
              <w:rPr>
                <w:b/>
                <w:spacing w:val="-2"/>
                <w:sz w:val="22"/>
              </w:rPr>
              <w:t>exigida</w:t>
            </w:r>
          </w:p>
        </w:tc>
        <w:tc>
          <w:tcPr>
            <w:tcW w:w="1397" w:type="dxa"/>
          </w:tcPr>
          <w:p>
            <w:pPr>
              <w:pStyle w:val="TableParagraph"/>
              <w:spacing w:line="254" w:lineRule="auto" w:before="20"/>
              <w:ind w:left="282" w:right="240" w:hanging="10"/>
              <w:rPr>
                <w:b/>
                <w:sz w:val="22"/>
              </w:rPr>
            </w:pPr>
            <w:r>
              <w:rPr>
                <w:b/>
                <w:spacing w:val="-2"/>
                <w:sz w:val="22"/>
              </w:rPr>
              <w:t>Forma</w:t>
            </w:r>
            <w:r>
              <w:rPr>
                <w:b/>
                <w:spacing w:val="-12"/>
                <w:sz w:val="22"/>
              </w:rPr>
              <w:t> </w:t>
            </w:r>
            <w:r>
              <w:rPr>
                <w:b/>
                <w:spacing w:val="-2"/>
                <w:sz w:val="22"/>
              </w:rPr>
              <w:t>de apuração</w:t>
            </w:r>
          </w:p>
        </w:tc>
        <w:tc>
          <w:tcPr>
            <w:tcW w:w="3565" w:type="dxa"/>
          </w:tcPr>
          <w:p>
            <w:pPr>
              <w:pStyle w:val="TableParagraph"/>
              <w:spacing w:before="20"/>
              <w:ind w:left="90"/>
              <w:rPr>
                <w:b/>
                <w:sz w:val="22"/>
              </w:rPr>
            </w:pPr>
            <w:r>
              <w:rPr>
                <w:b/>
                <w:sz w:val="22"/>
              </w:rPr>
              <w:t>Consequência</w:t>
            </w:r>
            <w:r>
              <w:rPr>
                <w:b/>
                <w:spacing w:val="-14"/>
                <w:sz w:val="22"/>
              </w:rPr>
              <w:t> </w:t>
            </w:r>
            <w:r>
              <w:rPr>
                <w:b/>
                <w:sz w:val="22"/>
              </w:rPr>
              <w:t>/</w:t>
            </w:r>
            <w:r>
              <w:rPr>
                <w:b/>
                <w:spacing w:val="-13"/>
                <w:sz w:val="22"/>
              </w:rPr>
              <w:t> </w:t>
            </w:r>
            <w:r>
              <w:rPr>
                <w:b/>
                <w:sz w:val="22"/>
              </w:rPr>
              <w:t>critério</w:t>
            </w:r>
            <w:r>
              <w:rPr>
                <w:b/>
                <w:spacing w:val="-15"/>
                <w:sz w:val="22"/>
              </w:rPr>
              <w:t> </w:t>
            </w:r>
            <w:r>
              <w:rPr>
                <w:b/>
                <w:sz w:val="22"/>
              </w:rPr>
              <w:t>de</w:t>
            </w:r>
            <w:r>
              <w:rPr>
                <w:b/>
                <w:spacing w:val="-11"/>
                <w:sz w:val="22"/>
              </w:rPr>
              <w:t> </w:t>
            </w:r>
            <w:r>
              <w:rPr>
                <w:b/>
                <w:spacing w:val="-4"/>
                <w:sz w:val="22"/>
              </w:rPr>
              <w:t>glosa</w:t>
            </w:r>
          </w:p>
        </w:tc>
      </w:tr>
      <w:tr>
        <w:trPr>
          <w:trHeight w:val="1767" w:hRule="atLeast"/>
        </w:trPr>
        <w:tc>
          <w:tcPr>
            <w:tcW w:w="2127" w:type="dxa"/>
          </w:tcPr>
          <w:p>
            <w:pPr>
              <w:pStyle w:val="TableParagraph"/>
              <w:spacing w:before="267"/>
              <w:rPr>
                <w:b/>
                <w:sz w:val="22"/>
              </w:rPr>
            </w:pPr>
          </w:p>
          <w:p>
            <w:pPr>
              <w:pStyle w:val="TableParagraph"/>
              <w:spacing w:before="1"/>
              <w:ind w:left="6"/>
              <w:rPr>
                <w:b/>
                <w:sz w:val="22"/>
              </w:rPr>
            </w:pPr>
            <w:r>
              <w:rPr>
                <w:b/>
                <w:spacing w:val="-2"/>
                <w:sz w:val="22"/>
              </w:rPr>
              <w:t>Película</w:t>
            </w:r>
            <w:r>
              <w:rPr>
                <w:b/>
                <w:spacing w:val="-13"/>
                <w:sz w:val="22"/>
              </w:rPr>
              <w:t> </w:t>
            </w:r>
            <w:r>
              <w:rPr>
                <w:b/>
                <w:spacing w:val="-2"/>
                <w:sz w:val="22"/>
              </w:rPr>
              <w:t>de</w:t>
            </w:r>
            <w:r>
              <w:rPr>
                <w:b/>
                <w:spacing w:val="-12"/>
                <w:sz w:val="22"/>
              </w:rPr>
              <w:t> </w:t>
            </w:r>
            <w:r>
              <w:rPr>
                <w:b/>
                <w:spacing w:val="-2"/>
                <w:sz w:val="22"/>
              </w:rPr>
              <w:t>proteção solar</w:t>
            </w:r>
          </w:p>
        </w:tc>
        <w:tc>
          <w:tcPr>
            <w:tcW w:w="2835" w:type="dxa"/>
          </w:tcPr>
          <w:p>
            <w:pPr>
              <w:pStyle w:val="TableParagraph"/>
              <w:spacing w:line="259" w:lineRule="auto" w:before="13"/>
              <w:ind w:left="25" w:right="262"/>
              <w:rPr>
                <w:sz w:val="22"/>
              </w:rPr>
            </w:pPr>
            <w:r>
              <w:rPr>
                <w:spacing w:val="-2"/>
                <w:sz w:val="22"/>
              </w:rPr>
              <w:t>Manter</w:t>
            </w:r>
            <w:r>
              <w:rPr>
                <w:spacing w:val="-12"/>
                <w:sz w:val="22"/>
              </w:rPr>
              <w:t> </w:t>
            </w:r>
            <w:r>
              <w:rPr>
                <w:spacing w:val="-2"/>
                <w:sz w:val="22"/>
              </w:rPr>
              <w:t>película</w:t>
            </w:r>
            <w:r>
              <w:rPr>
                <w:spacing w:val="-12"/>
                <w:sz w:val="22"/>
              </w:rPr>
              <w:t> </w:t>
            </w:r>
            <w:r>
              <w:rPr>
                <w:spacing w:val="-2"/>
                <w:sz w:val="22"/>
              </w:rPr>
              <w:t>regular,</w:t>
            </w:r>
            <w:r>
              <w:rPr>
                <w:spacing w:val="-11"/>
                <w:sz w:val="22"/>
              </w:rPr>
              <w:t> </w:t>
            </w:r>
            <w:r>
              <w:rPr>
                <w:spacing w:val="-2"/>
                <w:sz w:val="22"/>
              </w:rPr>
              <w:t>não </w:t>
            </w:r>
            <w:r>
              <w:rPr>
                <w:sz w:val="22"/>
              </w:rPr>
              <w:t>refletiva,</w:t>
            </w:r>
            <w:r>
              <w:rPr>
                <w:spacing w:val="-1"/>
                <w:sz w:val="22"/>
              </w:rPr>
              <w:t> </w:t>
            </w:r>
            <w:r>
              <w:rPr>
                <w:sz w:val="22"/>
              </w:rPr>
              <w:t>em conformidade com</w:t>
            </w:r>
            <w:r>
              <w:rPr>
                <w:spacing w:val="-12"/>
                <w:sz w:val="22"/>
              </w:rPr>
              <w:t> </w:t>
            </w:r>
            <w:r>
              <w:rPr>
                <w:sz w:val="22"/>
              </w:rPr>
              <w:t>a</w:t>
            </w:r>
            <w:r>
              <w:rPr>
                <w:spacing w:val="-7"/>
                <w:sz w:val="22"/>
              </w:rPr>
              <w:t> </w:t>
            </w:r>
            <w:r>
              <w:rPr>
                <w:sz w:val="22"/>
              </w:rPr>
              <w:t>legislação</w:t>
            </w:r>
            <w:r>
              <w:rPr>
                <w:spacing w:val="-13"/>
                <w:sz w:val="22"/>
              </w:rPr>
              <w:t> </w:t>
            </w:r>
            <w:r>
              <w:rPr>
                <w:sz w:val="22"/>
              </w:rPr>
              <w:t>de</w:t>
            </w:r>
            <w:r>
              <w:rPr>
                <w:spacing w:val="-12"/>
                <w:sz w:val="22"/>
              </w:rPr>
              <w:t> </w:t>
            </w:r>
            <w:r>
              <w:rPr>
                <w:sz w:val="22"/>
              </w:rPr>
              <w:t>trânsito e em bom estado de </w:t>
            </w:r>
            <w:r>
              <w:rPr>
                <w:spacing w:val="-2"/>
                <w:sz w:val="22"/>
              </w:rPr>
              <w:t>conservação</w:t>
            </w:r>
          </w:p>
        </w:tc>
        <w:tc>
          <w:tcPr>
            <w:tcW w:w="1397" w:type="dxa"/>
          </w:tcPr>
          <w:p>
            <w:pPr>
              <w:pStyle w:val="TableParagraph"/>
              <w:spacing w:line="259" w:lineRule="auto" w:before="15"/>
              <w:ind w:left="23" w:right="322"/>
              <w:jc w:val="both"/>
              <w:rPr>
                <w:sz w:val="22"/>
              </w:rPr>
            </w:pPr>
            <w:r>
              <w:rPr>
                <w:sz w:val="22"/>
              </w:rPr>
              <w:t>Na</w:t>
            </w:r>
            <w:r>
              <w:rPr>
                <w:spacing w:val="-13"/>
                <w:sz w:val="22"/>
              </w:rPr>
              <w:t> </w:t>
            </w:r>
            <w:r>
              <w:rPr>
                <w:sz w:val="22"/>
              </w:rPr>
              <w:t>entrega e</w:t>
            </w:r>
            <w:r>
              <w:rPr>
                <w:spacing w:val="-13"/>
                <w:sz w:val="22"/>
              </w:rPr>
              <w:t> </w:t>
            </w:r>
            <w:r>
              <w:rPr>
                <w:sz w:val="22"/>
              </w:rPr>
              <w:t>durante</w:t>
            </w:r>
            <w:r>
              <w:rPr>
                <w:spacing w:val="-12"/>
                <w:sz w:val="22"/>
              </w:rPr>
              <w:t> </w:t>
            </w:r>
            <w:r>
              <w:rPr>
                <w:sz w:val="22"/>
              </w:rPr>
              <w:t>a </w:t>
            </w:r>
            <w:r>
              <w:rPr>
                <w:spacing w:val="-2"/>
                <w:sz w:val="22"/>
              </w:rPr>
              <w:t>fiscalização mensal</w:t>
            </w:r>
          </w:p>
        </w:tc>
        <w:tc>
          <w:tcPr>
            <w:tcW w:w="3565" w:type="dxa"/>
          </w:tcPr>
          <w:p>
            <w:pPr>
              <w:pStyle w:val="TableParagraph"/>
              <w:spacing w:line="259" w:lineRule="auto" w:before="13"/>
              <w:ind w:left="23" w:right="935"/>
              <w:rPr>
                <w:sz w:val="22"/>
              </w:rPr>
            </w:pPr>
            <w:r>
              <w:rPr>
                <w:sz w:val="22"/>
              </w:rPr>
              <w:t>Película</w:t>
            </w:r>
            <w:r>
              <w:rPr>
                <w:spacing w:val="-13"/>
                <w:sz w:val="22"/>
              </w:rPr>
              <w:t> </w:t>
            </w:r>
            <w:r>
              <w:rPr>
                <w:sz w:val="22"/>
              </w:rPr>
              <w:t>ausente,</w:t>
            </w:r>
            <w:r>
              <w:rPr>
                <w:spacing w:val="-13"/>
                <w:sz w:val="22"/>
              </w:rPr>
              <w:t> </w:t>
            </w:r>
            <w:r>
              <w:rPr>
                <w:sz w:val="22"/>
              </w:rPr>
              <w:t>irregular</w:t>
            </w:r>
            <w:r>
              <w:rPr>
                <w:spacing w:val="-12"/>
                <w:sz w:val="22"/>
              </w:rPr>
              <w:t> </w:t>
            </w:r>
            <w:r>
              <w:rPr>
                <w:sz w:val="22"/>
              </w:rPr>
              <w:t>ou danificada poderá</w:t>
            </w:r>
          </w:p>
          <w:p>
            <w:pPr>
              <w:pStyle w:val="TableParagraph"/>
              <w:spacing w:line="259" w:lineRule="auto" w:before="15"/>
              <w:ind w:left="23" w:right="154"/>
              <w:rPr>
                <w:sz w:val="22"/>
              </w:rPr>
            </w:pPr>
            <w:r>
              <w:rPr>
                <w:sz w:val="22"/>
              </w:rPr>
              <w:t>ensejar exigência de substituição e glosa de até 2% do VMV por ocorrência,</w:t>
            </w:r>
            <w:r>
              <w:rPr>
                <w:spacing w:val="-12"/>
                <w:sz w:val="22"/>
              </w:rPr>
              <w:t> </w:t>
            </w:r>
            <w:r>
              <w:rPr>
                <w:sz w:val="22"/>
              </w:rPr>
              <w:t>caso</w:t>
            </w:r>
            <w:r>
              <w:rPr>
                <w:spacing w:val="-9"/>
                <w:sz w:val="22"/>
              </w:rPr>
              <w:t> </w:t>
            </w:r>
            <w:r>
              <w:rPr>
                <w:sz w:val="22"/>
              </w:rPr>
              <w:t>não</w:t>
            </w:r>
            <w:r>
              <w:rPr>
                <w:spacing w:val="-9"/>
                <w:sz w:val="22"/>
              </w:rPr>
              <w:t> </w:t>
            </w:r>
            <w:r>
              <w:rPr>
                <w:sz w:val="22"/>
              </w:rPr>
              <w:t>regularizada</w:t>
            </w:r>
            <w:r>
              <w:rPr>
                <w:spacing w:val="-10"/>
                <w:sz w:val="22"/>
              </w:rPr>
              <w:t> </w:t>
            </w:r>
            <w:r>
              <w:rPr>
                <w:sz w:val="22"/>
              </w:rPr>
              <w:t>no</w:t>
            </w:r>
          </w:p>
          <w:p>
            <w:pPr>
              <w:pStyle w:val="TableParagraph"/>
              <w:spacing w:line="268" w:lineRule="exact" w:before="1"/>
              <w:ind w:left="23"/>
              <w:rPr>
                <w:sz w:val="22"/>
              </w:rPr>
            </w:pPr>
            <w:r>
              <w:rPr>
                <w:sz w:val="22"/>
              </w:rPr>
              <w:t>prazo</w:t>
            </w:r>
            <w:r>
              <w:rPr>
                <w:spacing w:val="-2"/>
                <w:sz w:val="22"/>
              </w:rPr>
              <w:t> fixado</w:t>
            </w:r>
          </w:p>
        </w:tc>
      </w:tr>
      <w:tr>
        <w:trPr>
          <w:trHeight w:val="3225" w:hRule="atLeast"/>
        </w:trPr>
        <w:tc>
          <w:tcPr>
            <w:tcW w:w="2127" w:type="dxa"/>
          </w:tcPr>
          <w:p>
            <w:pPr>
              <w:pStyle w:val="TableParagraph"/>
              <w:rPr>
                <w:b/>
                <w:sz w:val="22"/>
              </w:rPr>
            </w:pPr>
          </w:p>
          <w:p>
            <w:pPr>
              <w:pStyle w:val="TableParagraph"/>
              <w:spacing w:before="208"/>
              <w:rPr>
                <w:b/>
                <w:sz w:val="22"/>
              </w:rPr>
            </w:pPr>
          </w:p>
          <w:p>
            <w:pPr>
              <w:pStyle w:val="TableParagraph"/>
              <w:spacing w:line="256" w:lineRule="auto"/>
              <w:ind w:left="23" w:right="-3"/>
              <w:rPr>
                <w:b/>
                <w:sz w:val="22"/>
              </w:rPr>
            </w:pPr>
            <w:r>
              <w:rPr>
                <w:b/>
                <w:spacing w:val="-2"/>
                <w:sz w:val="22"/>
              </w:rPr>
              <w:t>Plotagem</w:t>
            </w:r>
            <w:r>
              <w:rPr>
                <w:b/>
                <w:spacing w:val="-14"/>
                <w:sz w:val="22"/>
              </w:rPr>
              <w:t> </w:t>
            </w:r>
            <w:r>
              <w:rPr>
                <w:b/>
                <w:spacing w:val="-2"/>
                <w:sz w:val="22"/>
              </w:rPr>
              <w:t>institucional, </w:t>
            </w:r>
            <w:r>
              <w:rPr>
                <w:b/>
                <w:sz w:val="22"/>
              </w:rPr>
              <w:t>quando exigida</w:t>
            </w:r>
          </w:p>
        </w:tc>
        <w:tc>
          <w:tcPr>
            <w:tcW w:w="2835" w:type="dxa"/>
          </w:tcPr>
          <w:p>
            <w:pPr>
              <w:pStyle w:val="TableParagraph"/>
              <w:spacing w:before="3"/>
              <w:ind w:left="25"/>
              <w:rPr>
                <w:sz w:val="22"/>
              </w:rPr>
            </w:pPr>
            <w:r>
              <w:rPr>
                <w:sz w:val="22"/>
              </w:rPr>
              <w:t>Entregar e manter todos os veículos com a plotagem institucional aplicada em conformidade com o padrão visual indicado pela GOINFRA ou</w:t>
            </w:r>
            <w:r>
              <w:rPr>
                <w:spacing w:val="-9"/>
                <w:sz w:val="22"/>
              </w:rPr>
              <w:t> </w:t>
            </w:r>
            <w:r>
              <w:rPr>
                <w:sz w:val="22"/>
              </w:rPr>
              <w:t>pelo</w:t>
            </w:r>
            <w:r>
              <w:rPr>
                <w:spacing w:val="-7"/>
                <w:sz w:val="22"/>
              </w:rPr>
              <w:t> </w:t>
            </w:r>
            <w:r>
              <w:rPr>
                <w:sz w:val="22"/>
              </w:rPr>
              <w:t>Governo</w:t>
            </w:r>
            <w:r>
              <w:rPr>
                <w:spacing w:val="-7"/>
                <w:sz w:val="22"/>
              </w:rPr>
              <w:t> </w:t>
            </w:r>
            <w:r>
              <w:rPr>
                <w:sz w:val="22"/>
              </w:rPr>
              <w:t>do</w:t>
            </w:r>
            <w:r>
              <w:rPr>
                <w:spacing w:val="-7"/>
                <w:sz w:val="22"/>
              </w:rPr>
              <w:t> </w:t>
            </w:r>
            <w:r>
              <w:rPr>
                <w:sz w:val="22"/>
              </w:rPr>
              <w:t>Estado</w:t>
            </w:r>
            <w:r>
              <w:rPr>
                <w:spacing w:val="-10"/>
                <w:sz w:val="22"/>
              </w:rPr>
              <w:t> </w:t>
            </w:r>
            <w:r>
              <w:rPr>
                <w:sz w:val="22"/>
              </w:rPr>
              <w:t>de Goiás e em adequado estado de conservação, inclusive os veículos</w:t>
            </w:r>
            <w:r>
              <w:rPr>
                <w:spacing w:val="-2"/>
                <w:sz w:val="22"/>
              </w:rPr>
              <w:t> </w:t>
            </w:r>
            <w:r>
              <w:rPr>
                <w:sz w:val="22"/>
              </w:rPr>
              <w:t>substitutos,</w:t>
            </w:r>
            <w:r>
              <w:rPr>
                <w:spacing w:val="-2"/>
                <w:sz w:val="22"/>
              </w:rPr>
              <w:t> </w:t>
            </w:r>
            <w:r>
              <w:rPr>
                <w:sz w:val="22"/>
              </w:rPr>
              <w:t>reservas, provisórios ou </w:t>
            </w:r>
            <w:r>
              <w:rPr>
                <w:spacing w:val="-2"/>
                <w:sz w:val="22"/>
              </w:rPr>
              <w:t>temporariamente</w:t>
            </w:r>
          </w:p>
          <w:p>
            <w:pPr>
              <w:pStyle w:val="TableParagraph"/>
              <w:spacing w:line="248" w:lineRule="exact"/>
              <w:ind w:left="25"/>
              <w:rPr>
                <w:sz w:val="22"/>
              </w:rPr>
            </w:pPr>
            <w:r>
              <w:rPr>
                <w:spacing w:val="-2"/>
                <w:sz w:val="22"/>
              </w:rPr>
              <w:t>disponibilizados.</w:t>
            </w:r>
          </w:p>
        </w:tc>
        <w:tc>
          <w:tcPr>
            <w:tcW w:w="1397" w:type="dxa"/>
          </w:tcPr>
          <w:p>
            <w:pPr>
              <w:pStyle w:val="TableParagraph"/>
              <w:rPr>
                <w:b/>
                <w:sz w:val="22"/>
              </w:rPr>
            </w:pPr>
          </w:p>
          <w:p>
            <w:pPr>
              <w:pStyle w:val="TableParagraph"/>
              <w:spacing w:before="66"/>
              <w:rPr>
                <w:b/>
                <w:sz w:val="22"/>
              </w:rPr>
            </w:pPr>
          </w:p>
          <w:p>
            <w:pPr>
              <w:pStyle w:val="TableParagraph"/>
              <w:spacing w:line="235" w:lineRule="auto"/>
              <w:ind w:left="23" w:right="8"/>
              <w:rPr>
                <w:sz w:val="22"/>
              </w:rPr>
            </w:pPr>
            <w:r>
              <w:rPr>
                <w:sz w:val="22"/>
              </w:rPr>
              <w:t>Na entrega e durante a </w:t>
            </w:r>
            <w:r>
              <w:rPr>
                <w:spacing w:val="-2"/>
                <w:sz w:val="22"/>
              </w:rPr>
              <w:t>execução </w:t>
            </w:r>
            <w:r>
              <w:rPr>
                <w:sz w:val="22"/>
              </w:rPr>
              <w:t>contratual,</w:t>
            </w:r>
            <w:r>
              <w:rPr>
                <w:spacing w:val="-13"/>
                <w:sz w:val="22"/>
              </w:rPr>
              <w:t> </w:t>
            </w:r>
            <w:r>
              <w:rPr>
                <w:sz w:val="22"/>
              </w:rPr>
              <w:t>por </w:t>
            </w:r>
            <w:r>
              <w:rPr>
                <w:spacing w:val="-2"/>
                <w:sz w:val="22"/>
              </w:rPr>
              <w:t>ocorrência.</w:t>
            </w:r>
          </w:p>
        </w:tc>
        <w:tc>
          <w:tcPr>
            <w:tcW w:w="3565" w:type="dxa"/>
          </w:tcPr>
          <w:p>
            <w:pPr>
              <w:pStyle w:val="TableParagraph"/>
              <w:spacing w:before="6"/>
              <w:rPr>
                <w:b/>
                <w:sz w:val="22"/>
              </w:rPr>
            </w:pPr>
          </w:p>
          <w:p>
            <w:pPr>
              <w:pStyle w:val="TableParagraph"/>
              <w:spacing w:line="237" w:lineRule="auto"/>
              <w:ind w:left="23"/>
              <w:rPr>
                <w:sz w:val="22"/>
              </w:rPr>
            </w:pPr>
            <w:r>
              <w:rPr>
                <w:sz w:val="22"/>
              </w:rPr>
              <w:t>A ausência, deterioração ou desconformidade</w:t>
            </w:r>
            <w:r>
              <w:rPr>
                <w:spacing w:val="-12"/>
                <w:sz w:val="22"/>
              </w:rPr>
              <w:t> </w:t>
            </w:r>
            <w:r>
              <w:rPr>
                <w:sz w:val="22"/>
              </w:rPr>
              <w:t>da</w:t>
            </w:r>
            <w:r>
              <w:rPr>
                <w:spacing w:val="-12"/>
                <w:sz w:val="22"/>
              </w:rPr>
              <w:t> </w:t>
            </w:r>
            <w:r>
              <w:rPr>
                <w:sz w:val="22"/>
              </w:rPr>
              <w:t>plotagem</w:t>
            </w:r>
            <w:r>
              <w:rPr>
                <w:spacing w:val="-12"/>
                <w:sz w:val="22"/>
              </w:rPr>
              <w:t> </w:t>
            </w:r>
            <w:r>
              <w:rPr>
                <w:sz w:val="22"/>
              </w:rPr>
              <w:t>poderá ensejar exigência de aplicação, recomposição ou substituição e glosa de até 2% (dois por cento) do Valor Mensal do Veículo — VMV por ocorrência, caso não regularizada no prazo fixado pela fiscalização.</w:t>
            </w:r>
          </w:p>
        </w:tc>
      </w:tr>
      <w:tr>
        <w:trPr>
          <w:trHeight w:val="3481" w:hRule="atLeast"/>
        </w:trPr>
        <w:tc>
          <w:tcPr>
            <w:tcW w:w="2127" w:type="dxa"/>
          </w:tcPr>
          <w:p>
            <w:pPr>
              <w:pStyle w:val="TableParagraph"/>
              <w:rPr>
                <w:b/>
                <w:sz w:val="22"/>
              </w:rPr>
            </w:pPr>
          </w:p>
          <w:p>
            <w:pPr>
              <w:pStyle w:val="TableParagraph"/>
              <w:rPr>
                <w:b/>
                <w:sz w:val="22"/>
              </w:rPr>
            </w:pPr>
          </w:p>
          <w:p>
            <w:pPr>
              <w:pStyle w:val="TableParagraph"/>
              <w:spacing w:before="78"/>
              <w:rPr>
                <w:b/>
                <w:sz w:val="22"/>
              </w:rPr>
            </w:pPr>
          </w:p>
          <w:p>
            <w:pPr>
              <w:pStyle w:val="TableParagraph"/>
              <w:spacing w:line="261" w:lineRule="auto" w:before="1"/>
              <w:ind w:left="23"/>
              <w:rPr>
                <w:b/>
                <w:sz w:val="22"/>
              </w:rPr>
            </w:pPr>
            <w:r>
              <w:rPr>
                <w:b/>
                <w:spacing w:val="-2"/>
                <w:sz w:val="22"/>
              </w:rPr>
              <w:t>Lavagem,</w:t>
            </w:r>
            <w:r>
              <w:rPr>
                <w:b/>
                <w:spacing w:val="-13"/>
                <w:sz w:val="22"/>
              </w:rPr>
              <w:t> </w:t>
            </w:r>
            <w:r>
              <w:rPr>
                <w:b/>
                <w:spacing w:val="-2"/>
                <w:sz w:val="22"/>
              </w:rPr>
              <w:t>limpeza</w:t>
            </w:r>
            <w:r>
              <w:rPr>
                <w:b/>
                <w:spacing w:val="-12"/>
                <w:sz w:val="22"/>
              </w:rPr>
              <w:t> </w:t>
            </w:r>
            <w:r>
              <w:rPr>
                <w:b/>
                <w:spacing w:val="-2"/>
                <w:sz w:val="22"/>
              </w:rPr>
              <w:t>e higienização</w:t>
            </w:r>
          </w:p>
        </w:tc>
        <w:tc>
          <w:tcPr>
            <w:tcW w:w="2835" w:type="dxa"/>
          </w:tcPr>
          <w:p>
            <w:pPr>
              <w:pStyle w:val="TableParagraph"/>
              <w:spacing w:line="256" w:lineRule="auto" w:before="8"/>
              <w:ind w:left="9"/>
              <w:rPr>
                <w:sz w:val="22"/>
              </w:rPr>
            </w:pPr>
            <w:r>
              <w:rPr>
                <w:sz w:val="22"/>
              </w:rPr>
              <w:t>Disponibilizar</w:t>
            </w:r>
            <w:r>
              <w:rPr>
                <w:spacing w:val="-13"/>
                <w:sz w:val="22"/>
              </w:rPr>
              <w:t> </w:t>
            </w:r>
            <w:r>
              <w:rPr>
                <w:sz w:val="22"/>
              </w:rPr>
              <w:t>lavagem</w:t>
            </w:r>
            <w:r>
              <w:rPr>
                <w:spacing w:val="-12"/>
                <w:sz w:val="22"/>
              </w:rPr>
              <w:t> </w:t>
            </w:r>
            <w:r>
              <w:rPr>
                <w:sz w:val="22"/>
              </w:rPr>
              <w:t>externa simples e limpeza interna simples,</w:t>
            </w:r>
            <w:r>
              <w:rPr>
                <w:spacing w:val="-8"/>
                <w:sz w:val="22"/>
              </w:rPr>
              <w:t> </w:t>
            </w:r>
            <w:r>
              <w:rPr>
                <w:sz w:val="22"/>
              </w:rPr>
              <w:t>no</w:t>
            </w:r>
            <w:r>
              <w:rPr>
                <w:spacing w:val="-8"/>
                <w:sz w:val="22"/>
              </w:rPr>
              <w:t> </w:t>
            </w:r>
            <w:r>
              <w:rPr>
                <w:sz w:val="22"/>
              </w:rPr>
              <w:t>mínimo,</w:t>
            </w:r>
            <w:r>
              <w:rPr>
                <w:spacing w:val="-9"/>
                <w:sz w:val="22"/>
              </w:rPr>
              <w:t> </w:t>
            </w:r>
            <w:r>
              <w:rPr>
                <w:sz w:val="22"/>
              </w:rPr>
              <w:t>uma</w:t>
            </w:r>
            <w:r>
              <w:rPr>
                <w:spacing w:val="-9"/>
                <w:sz w:val="22"/>
              </w:rPr>
              <w:t> </w:t>
            </w:r>
            <w:r>
              <w:rPr>
                <w:sz w:val="22"/>
              </w:rPr>
              <w:t>vez</w:t>
            </w:r>
            <w:r>
              <w:rPr>
                <w:spacing w:val="-6"/>
                <w:sz w:val="22"/>
              </w:rPr>
              <w:t> </w:t>
            </w:r>
            <w:r>
              <w:rPr>
                <w:sz w:val="22"/>
              </w:rPr>
              <w:t>a cada 15 (quinze) dias por veículo em uso, e lavagem completa com higienização interna,</w:t>
            </w:r>
            <w:r>
              <w:rPr>
                <w:spacing w:val="-2"/>
                <w:sz w:val="22"/>
              </w:rPr>
              <w:t> </w:t>
            </w:r>
            <w:r>
              <w:rPr>
                <w:sz w:val="22"/>
              </w:rPr>
              <w:t>no</w:t>
            </w:r>
            <w:r>
              <w:rPr>
                <w:spacing w:val="-4"/>
                <w:sz w:val="22"/>
              </w:rPr>
              <w:t> </w:t>
            </w:r>
            <w:r>
              <w:rPr>
                <w:sz w:val="22"/>
              </w:rPr>
              <w:t>mínimo,</w:t>
            </w:r>
            <w:r>
              <w:rPr>
                <w:spacing w:val="-2"/>
                <w:sz w:val="22"/>
              </w:rPr>
              <w:t> </w:t>
            </w:r>
            <w:r>
              <w:rPr>
                <w:sz w:val="22"/>
              </w:rPr>
              <w:t>uma</w:t>
            </w:r>
            <w:r>
              <w:rPr>
                <w:spacing w:val="-4"/>
                <w:sz w:val="22"/>
              </w:rPr>
              <w:t> </w:t>
            </w:r>
            <w:r>
              <w:rPr>
                <w:sz w:val="22"/>
              </w:rPr>
              <w:t>vez</w:t>
            </w:r>
            <w:r>
              <w:rPr>
                <w:spacing w:val="-2"/>
                <w:sz w:val="22"/>
              </w:rPr>
              <w:t> </w:t>
            </w:r>
            <w:r>
              <w:rPr>
                <w:sz w:val="22"/>
              </w:rPr>
              <w:t>a cada 60 (sessenta) dias por veículo em uso, sem prejuízo dos atendimentos adicionais devidamente justificados pela </w:t>
            </w:r>
            <w:r>
              <w:rPr>
                <w:spacing w:val="-2"/>
                <w:sz w:val="22"/>
              </w:rPr>
              <w:t>fiscalização.</w:t>
            </w:r>
          </w:p>
        </w:tc>
        <w:tc>
          <w:tcPr>
            <w:tcW w:w="1397" w:type="dxa"/>
          </w:tcPr>
          <w:p>
            <w:pPr>
              <w:pStyle w:val="TableParagraph"/>
              <w:rPr>
                <w:b/>
                <w:sz w:val="22"/>
              </w:rPr>
            </w:pPr>
          </w:p>
          <w:p>
            <w:pPr>
              <w:pStyle w:val="TableParagraph"/>
              <w:rPr>
                <w:b/>
                <w:sz w:val="22"/>
              </w:rPr>
            </w:pPr>
          </w:p>
          <w:p>
            <w:pPr>
              <w:pStyle w:val="TableParagraph"/>
              <w:spacing w:before="222"/>
              <w:rPr>
                <w:b/>
                <w:sz w:val="22"/>
              </w:rPr>
            </w:pPr>
          </w:p>
          <w:p>
            <w:pPr>
              <w:pStyle w:val="TableParagraph"/>
              <w:spacing w:before="1"/>
              <w:ind w:left="1" w:right="89"/>
              <w:jc w:val="center"/>
              <w:rPr>
                <w:sz w:val="22"/>
              </w:rPr>
            </w:pPr>
            <w:r>
              <w:rPr>
                <w:spacing w:val="-2"/>
                <w:sz w:val="22"/>
              </w:rPr>
              <w:t>Mensalmente </w:t>
            </w:r>
            <w:r>
              <w:rPr>
                <w:sz w:val="22"/>
              </w:rPr>
              <w:t>e por </w:t>
            </w:r>
            <w:r>
              <w:rPr>
                <w:spacing w:val="-2"/>
                <w:sz w:val="22"/>
              </w:rPr>
              <w:t>ocorrência.</w:t>
            </w:r>
          </w:p>
        </w:tc>
        <w:tc>
          <w:tcPr>
            <w:tcW w:w="3565" w:type="dxa"/>
          </w:tcPr>
          <w:p>
            <w:pPr>
              <w:pStyle w:val="TableParagraph"/>
              <w:spacing w:line="259" w:lineRule="auto" w:before="3"/>
              <w:ind w:left="23"/>
              <w:rPr>
                <w:sz w:val="22"/>
              </w:rPr>
            </w:pPr>
            <w:r>
              <w:rPr>
                <w:sz w:val="22"/>
              </w:rPr>
              <w:t>A ausência injustificada da lavagem externa ou da limpeza interna simples no período estabelecido poderá</w:t>
            </w:r>
            <w:r>
              <w:rPr>
                <w:spacing w:val="40"/>
                <w:sz w:val="22"/>
              </w:rPr>
              <w:t> </w:t>
            </w:r>
            <w:r>
              <w:rPr>
                <w:sz w:val="22"/>
              </w:rPr>
              <w:t>ensejar glosa de</w:t>
            </w:r>
            <w:r>
              <w:rPr>
                <w:spacing w:val="-1"/>
                <w:sz w:val="22"/>
              </w:rPr>
              <w:t> </w:t>
            </w:r>
            <w:r>
              <w:rPr>
                <w:sz w:val="22"/>
              </w:rPr>
              <w:t>até</w:t>
            </w:r>
            <w:r>
              <w:rPr>
                <w:spacing w:val="-1"/>
                <w:sz w:val="22"/>
              </w:rPr>
              <w:t> </w:t>
            </w:r>
            <w:r>
              <w:rPr>
                <w:sz w:val="22"/>
              </w:rPr>
              <w:t>1% (um por cento) do VMV do veículo afetado por ocorrência. A ausência da lavagem completa</w:t>
            </w:r>
            <w:r>
              <w:rPr>
                <w:spacing w:val="-6"/>
                <w:sz w:val="22"/>
              </w:rPr>
              <w:t> </w:t>
            </w:r>
            <w:r>
              <w:rPr>
                <w:sz w:val="22"/>
              </w:rPr>
              <w:t>ou</w:t>
            </w:r>
            <w:r>
              <w:rPr>
                <w:spacing w:val="-5"/>
                <w:sz w:val="22"/>
              </w:rPr>
              <w:t> </w:t>
            </w:r>
            <w:r>
              <w:rPr>
                <w:sz w:val="22"/>
              </w:rPr>
              <w:t>da</w:t>
            </w:r>
            <w:r>
              <w:rPr>
                <w:spacing w:val="-5"/>
                <w:sz w:val="22"/>
              </w:rPr>
              <w:t> </w:t>
            </w:r>
            <w:r>
              <w:rPr>
                <w:sz w:val="22"/>
              </w:rPr>
              <w:t>higienização</w:t>
            </w:r>
            <w:r>
              <w:rPr>
                <w:spacing w:val="-4"/>
                <w:sz w:val="22"/>
              </w:rPr>
              <w:t> </w:t>
            </w:r>
            <w:r>
              <w:rPr>
                <w:sz w:val="22"/>
              </w:rPr>
              <w:t>interna</w:t>
            </w:r>
            <w:r>
              <w:rPr>
                <w:spacing w:val="-7"/>
                <w:sz w:val="22"/>
              </w:rPr>
              <w:t> </w:t>
            </w:r>
            <w:r>
              <w:rPr>
                <w:sz w:val="22"/>
              </w:rPr>
              <w:t>no prazo estabelecido poderá ensejar glosa de até 2% (dois por cento) do VMV do veículo afetado por</w:t>
            </w:r>
            <w:r>
              <w:rPr>
                <w:spacing w:val="40"/>
                <w:sz w:val="22"/>
              </w:rPr>
              <w:t> </w:t>
            </w:r>
            <w:r>
              <w:rPr>
                <w:sz w:val="22"/>
              </w:rPr>
              <w:t>ocorrência, sem prejuízo da obrigação</w:t>
            </w:r>
          </w:p>
          <w:p>
            <w:pPr>
              <w:pStyle w:val="TableParagraph"/>
              <w:spacing w:line="266" w:lineRule="exact"/>
              <w:ind w:left="23"/>
              <w:rPr>
                <w:sz w:val="22"/>
              </w:rPr>
            </w:pPr>
            <w:r>
              <w:rPr>
                <w:sz w:val="22"/>
              </w:rPr>
              <w:t>de</w:t>
            </w:r>
            <w:r>
              <w:rPr>
                <w:spacing w:val="-3"/>
                <w:sz w:val="22"/>
              </w:rPr>
              <w:t> </w:t>
            </w:r>
            <w:r>
              <w:rPr>
                <w:sz w:val="22"/>
              </w:rPr>
              <w:t>realização</w:t>
            </w:r>
            <w:r>
              <w:rPr>
                <w:spacing w:val="-2"/>
                <w:sz w:val="22"/>
              </w:rPr>
              <w:t> </w:t>
            </w:r>
            <w:r>
              <w:rPr>
                <w:sz w:val="22"/>
              </w:rPr>
              <w:t>do</w:t>
            </w:r>
            <w:r>
              <w:rPr>
                <w:spacing w:val="-2"/>
                <w:sz w:val="22"/>
              </w:rPr>
              <w:t> serviço.</w:t>
            </w:r>
          </w:p>
        </w:tc>
      </w:tr>
      <w:tr>
        <w:trPr>
          <w:trHeight w:val="4062" w:hRule="atLeast"/>
        </w:trPr>
        <w:tc>
          <w:tcPr>
            <w:tcW w:w="2127" w:type="dxa"/>
          </w:tcPr>
          <w:p>
            <w:pPr>
              <w:pStyle w:val="TableParagraph"/>
              <w:rPr>
                <w:b/>
                <w:sz w:val="22"/>
              </w:rPr>
            </w:pPr>
          </w:p>
          <w:p>
            <w:pPr>
              <w:pStyle w:val="TableParagraph"/>
              <w:rPr>
                <w:b/>
                <w:sz w:val="22"/>
              </w:rPr>
            </w:pPr>
          </w:p>
          <w:p>
            <w:pPr>
              <w:pStyle w:val="TableParagraph"/>
              <w:spacing w:before="222"/>
              <w:rPr>
                <w:b/>
                <w:sz w:val="22"/>
              </w:rPr>
            </w:pPr>
          </w:p>
          <w:p>
            <w:pPr>
              <w:pStyle w:val="TableParagraph"/>
              <w:spacing w:line="261" w:lineRule="auto" w:before="1"/>
              <w:ind w:left="23"/>
              <w:rPr>
                <w:b/>
                <w:sz w:val="22"/>
              </w:rPr>
            </w:pPr>
            <w:r>
              <w:rPr>
                <w:b/>
                <w:sz w:val="22"/>
              </w:rPr>
              <w:t>Rede ou solução operacional de lavagem, limpeza interna</w:t>
            </w:r>
            <w:r>
              <w:rPr>
                <w:b/>
                <w:spacing w:val="-13"/>
                <w:sz w:val="22"/>
              </w:rPr>
              <w:t> </w:t>
            </w:r>
            <w:r>
              <w:rPr>
                <w:b/>
                <w:sz w:val="22"/>
              </w:rPr>
              <w:t>e</w:t>
            </w:r>
            <w:r>
              <w:rPr>
                <w:b/>
                <w:spacing w:val="-12"/>
                <w:sz w:val="22"/>
              </w:rPr>
              <w:t> </w:t>
            </w:r>
            <w:r>
              <w:rPr>
                <w:b/>
                <w:sz w:val="22"/>
              </w:rPr>
              <w:t>higienização</w:t>
            </w:r>
          </w:p>
        </w:tc>
        <w:tc>
          <w:tcPr>
            <w:tcW w:w="2835" w:type="dxa"/>
          </w:tcPr>
          <w:p>
            <w:pPr>
              <w:pStyle w:val="TableParagraph"/>
              <w:spacing w:before="3"/>
              <w:ind w:left="25" w:right="4"/>
              <w:rPr>
                <w:sz w:val="22"/>
              </w:rPr>
            </w:pPr>
            <w:r>
              <w:rPr>
                <w:sz w:val="22"/>
              </w:rPr>
              <w:t>Manter rede ou solução operacional disponível e apta ao atendimento regular da frota na região de Goiânia e região metropolitana e, quando necessário, nas localidades do interior do Estado</w:t>
            </w:r>
            <w:r>
              <w:rPr>
                <w:spacing w:val="-11"/>
                <w:sz w:val="22"/>
              </w:rPr>
              <w:t> </w:t>
            </w:r>
            <w:r>
              <w:rPr>
                <w:sz w:val="22"/>
              </w:rPr>
              <w:t>em</w:t>
            </w:r>
            <w:r>
              <w:rPr>
                <w:spacing w:val="-8"/>
                <w:sz w:val="22"/>
              </w:rPr>
              <w:t> </w:t>
            </w:r>
            <w:r>
              <w:rPr>
                <w:sz w:val="22"/>
              </w:rPr>
              <w:t>que</w:t>
            </w:r>
            <w:r>
              <w:rPr>
                <w:spacing w:val="-9"/>
                <w:sz w:val="22"/>
              </w:rPr>
              <w:t> </w:t>
            </w:r>
            <w:r>
              <w:rPr>
                <w:sz w:val="22"/>
              </w:rPr>
              <w:t>houver</w:t>
            </w:r>
            <w:r>
              <w:rPr>
                <w:spacing w:val="-11"/>
                <w:sz w:val="22"/>
              </w:rPr>
              <w:t> </w:t>
            </w:r>
            <w:r>
              <w:rPr>
                <w:sz w:val="22"/>
              </w:rPr>
              <w:t>veículos alocados ou utilizados de forma contínua, evitando deslocamentos</w:t>
            </w:r>
            <w:r>
              <w:rPr>
                <w:spacing w:val="-13"/>
                <w:sz w:val="22"/>
              </w:rPr>
              <w:t> </w:t>
            </w:r>
            <w:r>
              <w:rPr>
                <w:sz w:val="22"/>
              </w:rPr>
              <w:t>desarrazoados, espera excessiva e prejuízo à rotina operacional.</w:t>
            </w:r>
          </w:p>
        </w:tc>
        <w:tc>
          <w:tcPr>
            <w:tcW w:w="1397" w:type="dxa"/>
          </w:tcPr>
          <w:p>
            <w:pPr>
              <w:pStyle w:val="TableParagraph"/>
              <w:rPr>
                <w:b/>
                <w:sz w:val="22"/>
              </w:rPr>
            </w:pPr>
          </w:p>
          <w:p>
            <w:pPr>
              <w:pStyle w:val="TableParagraph"/>
              <w:rPr>
                <w:b/>
                <w:sz w:val="22"/>
              </w:rPr>
            </w:pPr>
          </w:p>
          <w:p>
            <w:pPr>
              <w:pStyle w:val="TableParagraph"/>
              <w:spacing w:before="78"/>
              <w:rPr>
                <w:b/>
                <w:sz w:val="22"/>
              </w:rPr>
            </w:pPr>
          </w:p>
          <w:p>
            <w:pPr>
              <w:pStyle w:val="TableParagraph"/>
              <w:spacing w:line="259" w:lineRule="auto" w:before="1"/>
              <w:ind w:left="23"/>
              <w:rPr>
                <w:sz w:val="22"/>
              </w:rPr>
            </w:pPr>
            <w:r>
              <w:rPr>
                <w:spacing w:val="-4"/>
                <w:sz w:val="22"/>
              </w:rPr>
              <w:t>Mensalmente </w:t>
            </w:r>
            <w:r>
              <w:rPr>
                <w:sz w:val="22"/>
              </w:rPr>
              <w:t>ou quando </w:t>
            </w:r>
            <w:r>
              <w:rPr>
                <w:spacing w:val="-2"/>
                <w:sz w:val="22"/>
              </w:rPr>
              <w:t>solicitado</w:t>
            </w:r>
          </w:p>
        </w:tc>
        <w:tc>
          <w:tcPr>
            <w:tcW w:w="3565" w:type="dxa"/>
          </w:tcPr>
          <w:p>
            <w:pPr>
              <w:pStyle w:val="TableParagraph"/>
              <w:spacing w:line="259" w:lineRule="auto" w:before="6"/>
              <w:ind w:left="23" w:right="12"/>
              <w:rPr>
                <w:sz w:val="22"/>
              </w:rPr>
            </w:pPr>
            <w:r>
              <w:rPr>
                <w:sz w:val="22"/>
              </w:rPr>
              <w:t>A indisponibilidade injustificada da solução, a recusa de atendimento, a cobertura insuficiente ou a exigência de</w:t>
            </w:r>
            <w:r>
              <w:rPr>
                <w:spacing w:val="-1"/>
                <w:sz w:val="22"/>
              </w:rPr>
              <w:t> </w:t>
            </w:r>
            <w:r>
              <w:rPr>
                <w:sz w:val="22"/>
              </w:rPr>
              <w:t>deslocamento desarrazoado</w:t>
            </w:r>
            <w:r>
              <w:rPr>
                <w:spacing w:val="-3"/>
                <w:sz w:val="22"/>
              </w:rPr>
              <w:t> </w:t>
            </w:r>
            <w:r>
              <w:rPr>
                <w:sz w:val="22"/>
              </w:rPr>
              <w:t>deverá ser regularizada mediante disponibilização</w:t>
            </w:r>
            <w:r>
              <w:rPr>
                <w:spacing w:val="-10"/>
                <w:sz w:val="22"/>
              </w:rPr>
              <w:t> </w:t>
            </w:r>
            <w:r>
              <w:rPr>
                <w:sz w:val="22"/>
              </w:rPr>
              <w:t>de</w:t>
            </w:r>
            <w:r>
              <w:rPr>
                <w:spacing w:val="-11"/>
                <w:sz w:val="22"/>
              </w:rPr>
              <w:t> </w:t>
            </w:r>
            <w:r>
              <w:rPr>
                <w:sz w:val="22"/>
              </w:rPr>
              <w:t>meio</w:t>
            </w:r>
            <w:r>
              <w:rPr>
                <w:spacing w:val="-9"/>
                <w:sz w:val="22"/>
              </w:rPr>
              <w:t> </w:t>
            </w:r>
            <w:r>
              <w:rPr>
                <w:sz w:val="22"/>
              </w:rPr>
              <w:t>alternativo</w:t>
            </w:r>
            <w:r>
              <w:rPr>
                <w:spacing w:val="-9"/>
                <w:sz w:val="22"/>
              </w:rPr>
              <w:t> </w:t>
            </w:r>
            <w:r>
              <w:rPr>
                <w:sz w:val="22"/>
              </w:rPr>
              <w:t>no prazo máximo de 2 (dois) dias úteis, contado da comunicação da Administração. O descumprimento poderá ensejar notificação, glosa de até 2% (dois por cento) do VMV do veículo afetado por ocorrência e demais medidas administrativas</w:t>
            </w:r>
          </w:p>
          <w:p>
            <w:pPr>
              <w:pStyle w:val="TableParagraph"/>
              <w:spacing w:line="264" w:lineRule="exact"/>
              <w:ind w:left="23"/>
              <w:rPr>
                <w:sz w:val="22"/>
              </w:rPr>
            </w:pPr>
            <w:r>
              <w:rPr>
                <w:spacing w:val="-2"/>
                <w:sz w:val="22"/>
              </w:rPr>
              <w:t>cabíveis.</w:t>
            </w:r>
          </w:p>
        </w:tc>
      </w:tr>
    </w:tbl>
    <w:p>
      <w:pPr>
        <w:pStyle w:val="TableParagraph"/>
        <w:spacing w:after="0" w:line="264" w:lineRule="exact"/>
        <w:rPr>
          <w:sz w:val="22"/>
        </w:rPr>
        <w:sectPr>
          <w:type w:val="continuous"/>
          <w:pgSz w:w="11920" w:h="16850"/>
          <w:pgMar w:top="1360" w:bottom="1033" w:left="1133" w:right="566"/>
        </w:sectPr>
      </w:pPr>
    </w:p>
    <w:tbl>
      <w:tblPr>
        <w:tblW w:w="0" w:type="auto"/>
        <w:jc w:val="left"/>
        <w:tblInd w:w="1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127"/>
        <w:gridCol w:w="2835"/>
        <w:gridCol w:w="1397"/>
        <w:gridCol w:w="3565"/>
      </w:tblGrid>
      <w:tr>
        <w:trPr>
          <w:trHeight w:val="2217" w:hRule="atLeast"/>
        </w:trPr>
        <w:tc>
          <w:tcPr>
            <w:tcW w:w="2127" w:type="dxa"/>
          </w:tcPr>
          <w:p>
            <w:pPr>
              <w:pStyle w:val="TableParagraph"/>
              <w:rPr>
                <w:b/>
                <w:sz w:val="22"/>
              </w:rPr>
            </w:pPr>
          </w:p>
          <w:p>
            <w:pPr>
              <w:pStyle w:val="TableParagraph"/>
              <w:spacing w:before="203"/>
              <w:rPr>
                <w:b/>
                <w:sz w:val="22"/>
              </w:rPr>
            </w:pPr>
          </w:p>
          <w:p>
            <w:pPr>
              <w:pStyle w:val="TableParagraph"/>
              <w:spacing w:line="254" w:lineRule="auto" w:before="1"/>
              <w:ind w:left="23" w:right="415"/>
              <w:rPr>
                <w:b/>
                <w:sz w:val="22"/>
              </w:rPr>
            </w:pPr>
            <w:r>
              <w:rPr>
                <w:b/>
                <w:sz w:val="22"/>
              </w:rPr>
              <w:t>Rede</w:t>
            </w:r>
            <w:r>
              <w:rPr>
                <w:b/>
                <w:spacing w:val="-11"/>
                <w:sz w:val="22"/>
              </w:rPr>
              <w:t> </w:t>
            </w:r>
            <w:r>
              <w:rPr>
                <w:b/>
                <w:sz w:val="22"/>
              </w:rPr>
              <w:t>de</w:t>
            </w:r>
            <w:r>
              <w:rPr>
                <w:b/>
                <w:spacing w:val="-11"/>
                <w:sz w:val="22"/>
              </w:rPr>
              <w:t> </w:t>
            </w:r>
            <w:r>
              <w:rPr>
                <w:b/>
                <w:sz w:val="22"/>
              </w:rPr>
              <w:t>oficinas</w:t>
            </w:r>
            <w:r>
              <w:rPr>
                <w:b/>
                <w:spacing w:val="-9"/>
                <w:sz w:val="22"/>
              </w:rPr>
              <w:t> </w:t>
            </w:r>
            <w:r>
              <w:rPr>
                <w:b/>
                <w:sz w:val="22"/>
              </w:rPr>
              <w:t>e </w:t>
            </w:r>
            <w:r>
              <w:rPr>
                <w:b/>
                <w:spacing w:val="-2"/>
                <w:sz w:val="22"/>
              </w:rPr>
              <w:t>assistência</w:t>
            </w:r>
            <w:r>
              <w:rPr>
                <w:b/>
                <w:spacing w:val="-3"/>
                <w:sz w:val="22"/>
              </w:rPr>
              <w:t> </w:t>
            </w:r>
            <w:r>
              <w:rPr>
                <w:b/>
                <w:spacing w:val="-2"/>
                <w:sz w:val="22"/>
              </w:rPr>
              <w:t>técnica</w:t>
            </w:r>
          </w:p>
        </w:tc>
        <w:tc>
          <w:tcPr>
            <w:tcW w:w="2835" w:type="dxa"/>
          </w:tcPr>
          <w:p>
            <w:pPr>
              <w:pStyle w:val="TableParagraph"/>
              <w:rPr>
                <w:b/>
                <w:sz w:val="22"/>
              </w:rPr>
            </w:pPr>
          </w:p>
          <w:p>
            <w:pPr>
              <w:pStyle w:val="TableParagraph"/>
              <w:spacing w:before="59"/>
              <w:rPr>
                <w:b/>
                <w:sz w:val="22"/>
              </w:rPr>
            </w:pPr>
          </w:p>
          <w:p>
            <w:pPr>
              <w:pStyle w:val="TableParagraph"/>
              <w:spacing w:line="254" w:lineRule="auto" w:before="1"/>
              <w:ind w:left="25" w:right="331"/>
              <w:rPr>
                <w:sz w:val="22"/>
              </w:rPr>
            </w:pPr>
            <w:r>
              <w:rPr>
                <w:sz w:val="22"/>
              </w:rPr>
              <w:t>Manter rede de manutenção apta ao </w:t>
            </w:r>
            <w:r>
              <w:rPr>
                <w:spacing w:val="-2"/>
                <w:sz w:val="22"/>
              </w:rPr>
              <w:t>atendimento</w:t>
            </w:r>
            <w:r>
              <w:rPr>
                <w:spacing w:val="-7"/>
                <w:sz w:val="22"/>
              </w:rPr>
              <w:t> </w:t>
            </w:r>
            <w:r>
              <w:rPr>
                <w:spacing w:val="-2"/>
                <w:sz w:val="22"/>
              </w:rPr>
              <w:t>da </w:t>
            </w:r>
            <w:r>
              <w:rPr>
                <w:spacing w:val="-4"/>
                <w:sz w:val="22"/>
              </w:rPr>
              <w:t>frota</w:t>
            </w:r>
          </w:p>
        </w:tc>
        <w:tc>
          <w:tcPr>
            <w:tcW w:w="1397" w:type="dxa"/>
          </w:tcPr>
          <w:p>
            <w:pPr>
              <w:pStyle w:val="TableParagraph"/>
              <w:rPr>
                <w:b/>
                <w:sz w:val="22"/>
              </w:rPr>
            </w:pPr>
          </w:p>
          <w:p>
            <w:pPr>
              <w:pStyle w:val="TableParagraph"/>
              <w:spacing w:before="59"/>
              <w:rPr>
                <w:b/>
                <w:sz w:val="22"/>
              </w:rPr>
            </w:pPr>
          </w:p>
          <w:p>
            <w:pPr>
              <w:pStyle w:val="TableParagraph"/>
              <w:spacing w:line="254" w:lineRule="auto" w:before="1"/>
              <w:ind w:left="23"/>
              <w:rPr>
                <w:sz w:val="22"/>
              </w:rPr>
            </w:pPr>
            <w:r>
              <w:rPr>
                <w:spacing w:val="-4"/>
                <w:sz w:val="22"/>
              </w:rPr>
              <w:t>Mensalmente </w:t>
            </w:r>
            <w:r>
              <w:rPr>
                <w:sz w:val="22"/>
              </w:rPr>
              <w:t>ou quando </w:t>
            </w:r>
            <w:r>
              <w:rPr>
                <w:spacing w:val="-2"/>
                <w:sz w:val="22"/>
              </w:rPr>
              <w:t>solicitado</w:t>
            </w:r>
          </w:p>
        </w:tc>
        <w:tc>
          <w:tcPr>
            <w:tcW w:w="3565" w:type="dxa"/>
          </w:tcPr>
          <w:p>
            <w:pPr>
              <w:pStyle w:val="TableParagraph"/>
              <w:spacing w:line="254" w:lineRule="auto" w:before="15"/>
              <w:ind w:left="23"/>
              <w:rPr>
                <w:sz w:val="22"/>
              </w:rPr>
            </w:pPr>
            <w:r>
              <w:rPr>
                <w:sz w:val="22"/>
              </w:rPr>
              <w:t>Ausência</w:t>
            </w:r>
            <w:r>
              <w:rPr>
                <w:spacing w:val="-13"/>
                <w:sz w:val="22"/>
              </w:rPr>
              <w:t> </w:t>
            </w:r>
            <w:r>
              <w:rPr>
                <w:sz w:val="22"/>
              </w:rPr>
              <w:t>de</w:t>
            </w:r>
            <w:r>
              <w:rPr>
                <w:spacing w:val="-14"/>
                <w:sz w:val="22"/>
              </w:rPr>
              <w:t> </w:t>
            </w:r>
            <w:r>
              <w:rPr>
                <w:sz w:val="22"/>
              </w:rPr>
              <w:t>atendimento,</w:t>
            </w:r>
            <w:r>
              <w:rPr>
                <w:spacing w:val="-12"/>
                <w:sz w:val="22"/>
              </w:rPr>
              <w:t> </w:t>
            </w:r>
            <w:r>
              <w:rPr>
                <w:sz w:val="22"/>
              </w:rPr>
              <w:t>recusa injustificada ou</w:t>
            </w:r>
          </w:p>
          <w:p>
            <w:pPr>
              <w:pStyle w:val="TableParagraph"/>
              <w:spacing w:line="259" w:lineRule="auto" w:before="10"/>
              <w:ind w:left="23"/>
              <w:rPr>
                <w:sz w:val="22"/>
              </w:rPr>
            </w:pPr>
            <w:r>
              <w:rPr>
                <w:sz w:val="22"/>
              </w:rPr>
              <w:t>atraso</w:t>
            </w:r>
            <w:r>
              <w:rPr>
                <w:spacing w:val="-11"/>
                <w:sz w:val="22"/>
              </w:rPr>
              <w:t> </w:t>
            </w:r>
            <w:r>
              <w:rPr>
                <w:sz w:val="22"/>
              </w:rPr>
              <w:t>que</w:t>
            </w:r>
            <w:r>
              <w:rPr>
                <w:spacing w:val="-9"/>
                <w:sz w:val="22"/>
              </w:rPr>
              <w:t> </w:t>
            </w:r>
            <w:r>
              <w:rPr>
                <w:sz w:val="22"/>
              </w:rPr>
              <w:t>comprometa</w:t>
            </w:r>
            <w:r>
              <w:rPr>
                <w:spacing w:val="-9"/>
                <w:sz w:val="22"/>
              </w:rPr>
              <w:t> </w:t>
            </w:r>
            <w:r>
              <w:rPr>
                <w:sz w:val="22"/>
              </w:rPr>
              <w:t>a</w:t>
            </w:r>
            <w:r>
              <w:rPr>
                <w:spacing w:val="-11"/>
                <w:sz w:val="22"/>
              </w:rPr>
              <w:t> </w:t>
            </w:r>
            <w:r>
              <w:rPr>
                <w:sz w:val="22"/>
              </w:rPr>
              <w:t>manutenção poderá ensejar glosa proporcional ou sanções, conforme impacto na </w:t>
            </w:r>
            <w:r>
              <w:rPr>
                <w:spacing w:val="-2"/>
                <w:sz w:val="22"/>
              </w:rPr>
              <w:t>execução</w:t>
            </w:r>
          </w:p>
        </w:tc>
      </w:tr>
      <w:tr>
        <w:trPr>
          <w:trHeight w:val="3369" w:hRule="atLeast"/>
        </w:trPr>
        <w:tc>
          <w:tcPr>
            <w:tcW w:w="2127" w:type="dxa"/>
          </w:tcPr>
          <w:p>
            <w:pPr>
              <w:pStyle w:val="TableParagraph"/>
              <w:spacing w:before="102"/>
              <w:rPr>
                <w:b/>
                <w:sz w:val="22"/>
              </w:rPr>
            </w:pPr>
          </w:p>
          <w:p>
            <w:pPr>
              <w:pStyle w:val="TableParagraph"/>
              <w:spacing w:line="261" w:lineRule="auto"/>
              <w:ind w:left="23"/>
              <w:rPr>
                <w:b/>
                <w:sz w:val="22"/>
              </w:rPr>
            </w:pPr>
            <w:r>
              <w:rPr>
                <w:b/>
                <w:sz w:val="22"/>
              </w:rPr>
              <w:t>Notificações de </w:t>
            </w:r>
            <w:r>
              <w:rPr>
                <w:b/>
                <w:spacing w:val="-4"/>
                <w:sz w:val="22"/>
              </w:rPr>
              <w:t>infrações</w:t>
            </w:r>
            <w:r>
              <w:rPr>
                <w:b/>
                <w:spacing w:val="-9"/>
                <w:sz w:val="22"/>
              </w:rPr>
              <w:t> </w:t>
            </w:r>
            <w:r>
              <w:rPr>
                <w:b/>
                <w:spacing w:val="-4"/>
                <w:sz w:val="22"/>
              </w:rPr>
              <w:t>e</w:t>
            </w:r>
            <w:r>
              <w:rPr>
                <w:b/>
                <w:spacing w:val="-11"/>
                <w:sz w:val="22"/>
              </w:rPr>
              <w:t> </w:t>
            </w:r>
            <w:r>
              <w:rPr>
                <w:b/>
                <w:spacing w:val="-4"/>
                <w:sz w:val="22"/>
              </w:rPr>
              <w:t>trânsito</w:t>
            </w:r>
          </w:p>
        </w:tc>
        <w:tc>
          <w:tcPr>
            <w:tcW w:w="2835" w:type="dxa"/>
          </w:tcPr>
          <w:p>
            <w:pPr>
              <w:pStyle w:val="TableParagraph"/>
              <w:spacing w:before="6"/>
              <w:ind w:left="25" w:right="20"/>
              <w:rPr>
                <w:sz w:val="22"/>
              </w:rPr>
            </w:pPr>
            <w:r>
              <w:rPr>
                <w:sz w:val="22"/>
              </w:rPr>
              <w:t>Encaminhar à contratante as notificações de autuação e de penalidade no prazo máximo de</w:t>
            </w:r>
            <w:r>
              <w:rPr>
                <w:spacing w:val="-7"/>
                <w:sz w:val="22"/>
              </w:rPr>
              <w:t> </w:t>
            </w:r>
            <w:r>
              <w:rPr>
                <w:sz w:val="22"/>
              </w:rPr>
              <w:t>5</w:t>
            </w:r>
            <w:r>
              <w:rPr>
                <w:spacing w:val="-9"/>
                <w:sz w:val="22"/>
              </w:rPr>
              <w:t> </w:t>
            </w:r>
            <w:r>
              <w:rPr>
                <w:sz w:val="22"/>
              </w:rPr>
              <w:t>(cinco)</w:t>
            </w:r>
            <w:r>
              <w:rPr>
                <w:spacing w:val="-8"/>
                <w:sz w:val="22"/>
              </w:rPr>
              <w:t> </w:t>
            </w:r>
            <w:r>
              <w:rPr>
                <w:sz w:val="22"/>
              </w:rPr>
              <w:t>dias</w:t>
            </w:r>
            <w:r>
              <w:rPr>
                <w:spacing w:val="-8"/>
                <w:sz w:val="22"/>
              </w:rPr>
              <w:t> </w:t>
            </w:r>
            <w:r>
              <w:rPr>
                <w:sz w:val="22"/>
              </w:rPr>
              <w:t>úteis,</w:t>
            </w:r>
            <w:r>
              <w:rPr>
                <w:spacing w:val="-8"/>
                <w:sz w:val="22"/>
              </w:rPr>
              <w:t> </w:t>
            </w:r>
            <w:r>
              <w:rPr>
                <w:sz w:val="22"/>
              </w:rPr>
              <w:t>contado do recebimento pela contratada, devendo o encaminhamento ocorrer imediatamente quando o prazo remanescente para defesa, recurso, indicação do condutor ou pagamento com desconto for inferior</w:t>
            </w:r>
          </w:p>
        </w:tc>
        <w:tc>
          <w:tcPr>
            <w:tcW w:w="1397" w:type="dxa"/>
          </w:tcPr>
          <w:p>
            <w:pPr>
              <w:pStyle w:val="TableParagraph"/>
              <w:spacing w:before="246"/>
              <w:rPr>
                <w:b/>
                <w:sz w:val="22"/>
              </w:rPr>
            </w:pPr>
          </w:p>
          <w:p>
            <w:pPr>
              <w:pStyle w:val="TableParagraph"/>
              <w:ind w:left="1" w:right="30"/>
              <w:jc w:val="center"/>
              <w:rPr>
                <w:sz w:val="22"/>
              </w:rPr>
            </w:pPr>
            <w:r>
              <w:rPr>
                <w:sz w:val="22"/>
              </w:rPr>
              <w:t>Por</w:t>
            </w:r>
            <w:r>
              <w:rPr>
                <w:spacing w:val="-8"/>
                <w:sz w:val="22"/>
              </w:rPr>
              <w:t> </w:t>
            </w:r>
            <w:r>
              <w:rPr>
                <w:spacing w:val="-2"/>
                <w:sz w:val="22"/>
              </w:rPr>
              <w:t>ocorrência</w:t>
            </w:r>
          </w:p>
        </w:tc>
        <w:tc>
          <w:tcPr>
            <w:tcW w:w="3565" w:type="dxa"/>
          </w:tcPr>
          <w:p>
            <w:pPr>
              <w:pStyle w:val="TableParagraph"/>
              <w:spacing w:before="1"/>
              <w:ind w:left="23" w:right="35"/>
              <w:rPr>
                <w:sz w:val="22"/>
              </w:rPr>
            </w:pPr>
            <w:r>
              <w:rPr>
                <w:sz w:val="22"/>
              </w:rPr>
              <w:t>O atraso que ocasione perda ou redução do prazo para apresentação de defesa, recurso, identificação do condutor</w:t>
            </w:r>
            <w:r>
              <w:rPr>
                <w:spacing w:val="-11"/>
                <w:sz w:val="22"/>
              </w:rPr>
              <w:t> </w:t>
            </w:r>
            <w:r>
              <w:rPr>
                <w:sz w:val="22"/>
              </w:rPr>
              <w:t>ou</w:t>
            </w:r>
            <w:r>
              <w:rPr>
                <w:spacing w:val="-10"/>
                <w:sz w:val="22"/>
              </w:rPr>
              <w:t> </w:t>
            </w:r>
            <w:r>
              <w:rPr>
                <w:sz w:val="22"/>
              </w:rPr>
              <w:t>pagamento</w:t>
            </w:r>
            <w:r>
              <w:rPr>
                <w:spacing w:val="-10"/>
                <w:sz w:val="22"/>
              </w:rPr>
              <w:t> </w:t>
            </w:r>
            <w:r>
              <w:rPr>
                <w:sz w:val="22"/>
              </w:rPr>
              <w:t>com</w:t>
            </w:r>
            <w:r>
              <w:rPr>
                <w:spacing w:val="-8"/>
                <w:sz w:val="22"/>
              </w:rPr>
              <w:t> </w:t>
            </w:r>
            <w:r>
              <w:rPr>
                <w:sz w:val="22"/>
              </w:rPr>
              <w:t>desconto implicará responsabilidade integral da contratada pelos custos e prejuízos diretamente decorrentes de sua omissão ou atraso, sem prejuízo das demais medidas administrativas </w:t>
            </w:r>
            <w:r>
              <w:rPr>
                <w:spacing w:val="-2"/>
                <w:sz w:val="22"/>
              </w:rPr>
              <w:t>cabíveis.</w:t>
            </w:r>
          </w:p>
        </w:tc>
      </w:tr>
      <w:tr>
        <w:trPr>
          <w:trHeight w:val="1850" w:hRule="atLeast"/>
        </w:trPr>
        <w:tc>
          <w:tcPr>
            <w:tcW w:w="2127" w:type="dxa"/>
          </w:tcPr>
          <w:p>
            <w:pPr>
              <w:pStyle w:val="TableParagraph"/>
              <w:spacing w:before="203"/>
              <w:rPr>
                <w:b/>
                <w:sz w:val="22"/>
              </w:rPr>
            </w:pPr>
          </w:p>
          <w:p>
            <w:pPr>
              <w:pStyle w:val="TableParagraph"/>
              <w:spacing w:line="259" w:lineRule="auto"/>
              <w:ind w:left="23" w:right="470"/>
              <w:jc w:val="both"/>
              <w:rPr>
                <w:b/>
                <w:sz w:val="22"/>
              </w:rPr>
            </w:pPr>
            <w:r>
              <w:rPr>
                <w:b/>
                <w:spacing w:val="-2"/>
                <w:sz w:val="22"/>
              </w:rPr>
              <w:t>Documentos</w:t>
            </w:r>
            <w:r>
              <w:rPr>
                <w:b/>
                <w:spacing w:val="-11"/>
                <w:sz w:val="22"/>
              </w:rPr>
              <w:t> </w:t>
            </w:r>
            <w:r>
              <w:rPr>
                <w:b/>
                <w:spacing w:val="-2"/>
                <w:sz w:val="22"/>
              </w:rPr>
              <w:t>para </w:t>
            </w:r>
            <w:r>
              <w:rPr>
                <w:b/>
                <w:sz w:val="22"/>
              </w:rPr>
              <w:t>medição,</w:t>
            </w:r>
            <w:r>
              <w:rPr>
                <w:b/>
                <w:spacing w:val="-13"/>
                <w:sz w:val="22"/>
              </w:rPr>
              <w:t> </w:t>
            </w:r>
            <w:r>
              <w:rPr>
                <w:b/>
                <w:sz w:val="22"/>
              </w:rPr>
              <w:t>atesto</w:t>
            </w:r>
            <w:r>
              <w:rPr>
                <w:b/>
                <w:spacing w:val="-12"/>
                <w:sz w:val="22"/>
              </w:rPr>
              <w:t> </w:t>
            </w:r>
            <w:r>
              <w:rPr>
                <w:b/>
                <w:sz w:val="22"/>
              </w:rPr>
              <w:t>e </w:t>
            </w:r>
            <w:r>
              <w:rPr>
                <w:b/>
                <w:spacing w:val="-2"/>
                <w:sz w:val="22"/>
              </w:rPr>
              <w:t>fiscalização</w:t>
            </w:r>
          </w:p>
        </w:tc>
        <w:tc>
          <w:tcPr>
            <w:tcW w:w="2835" w:type="dxa"/>
          </w:tcPr>
          <w:p>
            <w:pPr>
              <w:pStyle w:val="TableParagraph"/>
              <w:spacing w:line="259" w:lineRule="auto"/>
              <w:ind w:left="25" w:right="80"/>
              <w:rPr>
                <w:sz w:val="22"/>
              </w:rPr>
            </w:pPr>
            <w:r>
              <w:rPr>
                <w:sz w:val="22"/>
              </w:rPr>
              <w:t>Apresentar relatórios, comprovantes</w:t>
            </w:r>
            <w:r>
              <w:rPr>
                <w:spacing w:val="-13"/>
                <w:sz w:val="22"/>
              </w:rPr>
              <w:t> </w:t>
            </w:r>
            <w:r>
              <w:rPr>
                <w:sz w:val="22"/>
              </w:rPr>
              <w:t>e</w:t>
            </w:r>
            <w:r>
              <w:rPr>
                <w:spacing w:val="-12"/>
                <w:sz w:val="22"/>
              </w:rPr>
              <w:t> </w:t>
            </w:r>
            <w:r>
              <w:rPr>
                <w:sz w:val="22"/>
              </w:rPr>
              <w:t>documentos exigidos no TR, contrato ou </w:t>
            </w:r>
            <w:r>
              <w:rPr>
                <w:spacing w:val="-4"/>
                <w:sz w:val="22"/>
              </w:rPr>
              <w:t>pela</w:t>
            </w:r>
          </w:p>
          <w:p>
            <w:pPr>
              <w:pStyle w:val="TableParagraph"/>
              <w:ind w:left="25"/>
              <w:rPr>
                <w:sz w:val="22"/>
              </w:rPr>
            </w:pPr>
            <w:r>
              <w:rPr>
                <w:spacing w:val="-2"/>
                <w:sz w:val="22"/>
              </w:rPr>
              <w:t>fiscalização</w:t>
            </w:r>
          </w:p>
        </w:tc>
        <w:tc>
          <w:tcPr>
            <w:tcW w:w="1397" w:type="dxa"/>
          </w:tcPr>
          <w:p>
            <w:pPr>
              <w:pStyle w:val="TableParagraph"/>
              <w:spacing w:before="203"/>
              <w:rPr>
                <w:b/>
                <w:sz w:val="22"/>
              </w:rPr>
            </w:pPr>
          </w:p>
          <w:p>
            <w:pPr>
              <w:pStyle w:val="TableParagraph"/>
              <w:spacing w:line="259" w:lineRule="auto"/>
              <w:ind w:left="23"/>
              <w:rPr>
                <w:sz w:val="22"/>
              </w:rPr>
            </w:pPr>
            <w:r>
              <w:rPr>
                <w:spacing w:val="-4"/>
                <w:sz w:val="22"/>
              </w:rPr>
              <w:t>Mensalmente </w:t>
            </w:r>
            <w:r>
              <w:rPr>
                <w:sz w:val="22"/>
              </w:rPr>
              <w:t>ou quando </w:t>
            </w:r>
            <w:r>
              <w:rPr>
                <w:spacing w:val="-2"/>
                <w:sz w:val="22"/>
              </w:rPr>
              <w:t>solicitado</w:t>
            </w:r>
          </w:p>
        </w:tc>
        <w:tc>
          <w:tcPr>
            <w:tcW w:w="3565" w:type="dxa"/>
          </w:tcPr>
          <w:p>
            <w:pPr>
              <w:pStyle w:val="TableParagraph"/>
              <w:spacing w:line="259" w:lineRule="auto" w:before="18"/>
              <w:ind w:left="23"/>
              <w:rPr>
                <w:sz w:val="22"/>
              </w:rPr>
            </w:pPr>
            <w:r>
              <w:rPr>
                <w:sz w:val="22"/>
              </w:rPr>
              <w:t>Ausência</w:t>
            </w:r>
            <w:r>
              <w:rPr>
                <w:spacing w:val="80"/>
                <w:sz w:val="22"/>
              </w:rPr>
              <w:t> </w:t>
            </w:r>
            <w:r>
              <w:rPr>
                <w:sz w:val="22"/>
              </w:rPr>
              <w:t>de</w:t>
            </w:r>
            <w:r>
              <w:rPr>
                <w:spacing w:val="80"/>
                <w:sz w:val="22"/>
              </w:rPr>
              <w:t> </w:t>
            </w:r>
            <w:r>
              <w:rPr>
                <w:sz w:val="22"/>
              </w:rPr>
              <w:t>documentos</w:t>
            </w:r>
            <w:r>
              <w:rPr>
                <w:spacing w:val="80"/>
                <w:sz w:val="22"/>
              </w:rPr>
              <w:t> </w:t>
            </w:r>
            <w:r>
              <w:rPr>
                <w:sz w:val="22"/>
              </w:rPr>
              <w:t>poderá sobrestar o</w:t>
            </w:r>
            <w:r>
              <w:rPr>
                <w:spacing w:val="-1"/>
                <w:sz w:val="22"/>
              </w:rPr>
              <w:t> </w:t>
            </w:r>
            <w:r>
              <w:rPr>
                <w:sz w:val="22"/>
              </w:rPr>
              <w:t>atesto ou pagamento da parcela correspondente até regularização, sem prejuízo de glosa quando houver impacto na comprovação da execução</w:t>
            </w:r>
          </w:p>
        </w:tc>
      </w:tr>
      <w:tr>
        <w:trPr>
          <w:trHeight w:val="1849" w:hRule="atLeast"/>
        </w:trPr>
        <w:tc>
          <w:tcPr>
            <w:tcW w:w="2127" w:type="dxa"/>
          </w:tcPr>
          <w:p>
            <w:pPr>
              <w:pStyle w:val="TableParagraph"/>
              <w:rPr>
                <w:b/>
                <w:sz w:val="22"/>
              </w:rPr>
            </w:pPr>
          </w:p>
          <w:p>
            <w:pPr>
              <w:pStyle w:val="TableParagraph"/>
              <w:rPr>
                <w:b/>
                <w:sz w:val="22"/>
              </w:rPr>
            </w:pPr>
          </w:p>
          <w:p>
            <w:pPr>
              <w:pStyle w:val="TableParagraph"/>
              <w:spacing w:before="78"/>
              <w:rPr>
                <w:b/>
                <w:sz w:val="22"/>
              </w:rPr>
            </w:pPr>
          </w:p>
          <w:p>
            <w:pPr>
              <w:pStyle w:val="TableParagraph"/>
              <w:spacing w:line="261" w:lineRule="auto" w:before="1"/>
              <w:ind w:left="23"/>
              <w:rPr>
                <w:b/>
                <w:sz w:val="22"/>
              </w:rPr>
            </w:pPr>
            <w:r>
              <w:rPr>
                <w:b/>
                <w:spacing w:val="-2"/>
                <w:sz w:val="22"/>
              </w:rPr>
              <w:t>Atendimento</w:t>
            </w:r>
            <w:r>
              <w:rPr>
                <w:b/>
                <w:spacing w:val="-12"/>
                <w:sz w:val="22"/>
              </w:rPr>
              <w:t> </w:t>
            </w:r>
            <w:r>
              <w:rPr>
                <w:b/>
                <w:spacing w:val="-2"/>
                <w:sz w:val="22"/>
              </w:rPr>
              <w:t>e</w:t>
            </w:r>
            <w:r>
              <w:rPr>
                <w:b/>
                <w:spacing w:val="-14"/>
                <w:sz w:val="22"/>
              </w:rPr>
              <w:t> </w:t>
            </w:r>
            <w:r>
              <w:rPr>
                <w:b/>
                <w:spacing w:val="-2"/>
                <w:sz w:val="22"/>
              </w:rPr>
              <w:t>canais </w:t>
            </w:r>
            <w:r>
              <w:rPr>
                <w:b/>
                <w:sz w:val="22"/>
              </w:rPr>
              <w:t>de comunicação</w:t>
            </w:r>
          </w:p>
        </w:tc>
        <w:tc>
          <w:tcPr>
            <w:tcW w:w="2835" w:type="dxa"/>
          </w:tcPr>
          <w:p>
            <w:pPr>
              <w:pStyle w:val="TableParagraph"/>
              <w:spacing w:before="183"/>
              <w:rPr>
                <w:b/>
                <w:sz w:val="22"/>
              </w:rPr>
            </w:pPr>
          </w:p>
          <w:p>
            <w:pPr>
              <w:pStyle w:val="TableParagraph"/>
              <w:spacing w:line="259" w:lineRule="auto" w:before="1"/>
              <w:ind w:left="25" w:right="80"/>
              <w:rPr>
                <w:sz w:val="22"/>
              </w:rPr>
            </w:pPr>
            <w:r>
              <w:rPr>
                <w:sz w:val="22"/>
              </w:rPr>
              <w:t>Manter canais ativos para chamados, manutenção, sinistro,</w:t>
            </w:r>
            <w:r>
              <w:rPr>
                <w:spacing w:val="-13"/>
                <w:sz w:val="22"/>
              </w:rPr>
              <w:t> </w:t>
            </w:r>
            <w:r>
              <w:rPr>
                <w:sz w:val="22"/>
              </w:rPr>
              <w:t>guincho,</w:t>
            </w:r>
            <w:r>
              <w:rPr>
                <w:spacing w:val="-12"/>
                <w:sz w:val="22"/>
              </w:rPr>
              <w:t> </w:t>
            </w:r>
            <w:r>
              <w:rPr>
                <w:sz w:val="22"/>
              </w:rPr>
              <w:t>substituição e demais ocorrências</w:t>
            </w:r>
          </w:p>
        </w:tc>
        <w:tc>
          <w:tcPr>
            <w:tcW w:w="1397" w:type="dxa"/>
          </w:tcPr>
          <w:p>
            <w:pPr>
              <w:pStyle w:val="TableParagraph"/>
              <w:rPr>
                <w:b/>
                <w:sz w:val="22"/>
              </w:rPr>
            </w:pPr>
          </w:p>
          <w:p>
            <w:pPr>
              <w:pStyle w:val="TableParagraph"/>
              <w:rPr>
                <w:b/>
                <w:sz w:val="22"/>
              </w:rPr>
            </w:pPr>
          </w:p>
          <w:p>
            <w:pPr>
              <w:pStyle w:val="TableParagraph"/>
              <w:spacing w:before="227"/>
              <w:rPr>
                <w:b/>
                <w:sz w:val="22"/>
              </w:rPr>
            </w:pPr>
          </w:p>
          <w:p>
            <w:pPr>
              <w:pStyle w:val="TableParagraph"/>
              <w:ind w:left="1" w:right="30"/>
              <w:jc w:val="center"/>
              <w:rPr>
                <w:sz w:val="22"/>
              </w:rPr>
            </w:pPr>
            <w:r>
              <w:rPr>
                <w:sz w:val="22"/>
              </w:rPr>
              <w:t>Por</w:t>
            </w:r>
            <w:r>
              <w:rPr>
                <w:spacing w:val="-8"/>
                <w:sz w:val="22"/>
              </w:rPr>
              <w:t> </w:t>
            </w:r>
            <w:r>
              <w:rPr>
                <w:spacing w:val="-2"/>
                <w:sz w:val="22"/>
              </w:rPr>
              <w:t>ocorrência</w:t>
            </w:r>
          </w:p>
        </w:tc>
        <w:tc>
          <w:tcPr>
            <w:tcW w:w="3565" w:type="dxa"/>
          </w:tcPr>
          <w:p>
            <w:pPr>
              <w:pStyle w:val="TableParagraph"/>
              <w:spacing w:line="261" w:lineRule="auto" w:before="13"/>
              <w:ind w:left="23" w:right="935"/>
              <w:rPr>
                <w:sz w:val="22"/>
              </w:rPr>
            </w:pPr>
            <w:r>
              <w:rPr>
                <w:spacing w:val="-2"/>
                <w:sz w:val="22"/>
              </w:rPr>
              <w:t>Falha</w:t>
            </w:r>
            <w:r>
              <w:rPr>
                <w:spacing w:val="-10"/>
                <w:sz w:val="22"/>
              </w:rPr>
              <w:t> </w:t>
            </w:r>
            <w:r>
              <w:rPr>
                <w:spacing w:val="-2"/>
                <w:sz w:val="22"/>
              </w:rPr>
              <w:t>injustificada</w:t>
            </w:r>
            <w:r>
              <w:rPr>
                <w:spacing w:val="-10"/>
                <w:sz w:val="22"/>
              </w:rPr>
              <w:t> </w:t>
            </w:r>
            <w:r>
              <w:rPr>
                <w:spacing w:val="-2"/>
                <w:sz w:val="22"/>
              </w:rPr>
              <w:t>de atendimento</w:t>
            </w:r>
            <w:r>
              <w:rPr>
                <w:spacing w:val="1"/>
                <w:sz w:val="22"/>
              </w:rPr>
              <w:t> </w:t>
            </w:r>
            <w:r>
              <w:rPr>
                <w:spacing w:val="-2"/>
                <w:sz w:val="22"/>
              </w:rPr>
              <w:t>poderá</w:t>
            </w:r>
          </w:p>
          <w:p>
            <w:pPr>
              <w:pStyle w:val="TableParagraph"/>
              <w:spacing w:line="256" w:lineRule="auto"/>
              <w:ind w:left="23" w:right="35"/>
              <w:rPr>
                <w:sz w:val="22"/>
              </w:rPr>
            </w:pPr>
            <w:r>
              <w:rPr>
                <w:sz w:val="22"/>
              </w:rPr>
              <w:t>ensejar notificação e glosa de até 1% do VMV por ocorrência, sem prejuízo de</w:t>
            </w:r>
            <w:r>
              <w:rPr>
                <w:spacing w:val="-10"/>
                <w:sz w:val="22"/>
              </w:rPr>
              <w:t> </w:t>
            </w:r>
            <w:r>
              <w:rPr>
                <w:sz w:val="22"/>
              </w:rPr>
              <w:t>sanções</w:t>
            </w:r>
            <w:r>
              <w:rPr>
                <w:spacing w:val="-8"/>
                <w:sz w:val="22"/>
              </w:rPr>
              <w:t> </w:t>
            </w:r>
            <w:r>
              <w:rPr>
                <w:sz w:val="22"/>
              </w:rPr>
              <w:t>em</w:t>
            </w:r>
            <w:r>
              <w:rPr>
                <w:spacing w:val="-7"/>
                <w:sz w:val="22"/>
              </w:rPr>
              <w:t> </w:t>
            </w:r>
            <w:r>
              <w:rPr>
                <w:sz w:val="22"/>
              </w:rPr>
              <w:t>caso</w:t>
            </w:r>
            <w:r>
              <w:rPr>
                <w:spacing w:val="-5"/>
                <w:sz w:val="22"/>
              </w:rPr>
              <w:t> </w:t>
            </w:r>
            <w:r>
              <w:rPr>
                <w:sz w:val="22"/>
              </w:rPr>
              <w:t>de</w:t>
            </w:r>
            <w:r>
              <w:rPr>
                <w:spacing w:val="-6"/>
                <w:sz w:val="22"/>
              </w:rPr>
              <w:t> </w:t>
            </w:r>
            <w:r>
              <w:rPr>
                <w:sz w:val="22"/>
              </w:rPr>
              <w:t>reincidência</w:t>
            </w:r>
            <w:r>
              <w:rPr>
                <w:spacing w:val="-13"/>
                <w:sz w:val="22"/>
              </w:rPr>
              <w:t> </w:t>
            </w:r>
            <w:r>
              <w:rPr>
                <w:sz w:val="22"/>
              </w:rPr>
              <w:t>ou prejuízo ao serviço</w:t>
            </w:r>
          </w:p>
        </w:tc>
      </w:tr>
      <w:tr>
        <w:trPr>
          <w:trHeight w:val="1850" w:hRule="atLeast"/>
        </w:trPr>
        <w:tc>
          <w:tcPr>
            <w:tcW w:w="2127" w:type="dxa"/>
          </w:tcPr>
          <w:p>
            <w:pPr>
              <w:pStyle w:val="TableParagraph"/>
              <w:spacing w:before="186"/>
              <w:rPr>
                <w:b/>
                <w:sz w:val="22"/>
              </w:rPr>
            </w:pPr>
          </w:p>
          <w:p>
            <w:pPr>
              <w:pStyle w:val="TableParagraph"/>
              <w:spacing w:line="254" w:lineRule="auto"/>
              <w:ind w:left="23"/>
              <w:rPr>
                <w:b/>
                <w:sz w:val="22"/>
              </w:rPr>
            </w:pPr>
            <w:r>
              <w:rPr>
                <w:b/>
                <w:spacing w:val="-2"/>
                <w:sz w:val="22"/>
              </w:rPr>
              <w:t>Regularidade documental</w:t>
            </w:r>
            <w:r>
              <w:rPr>
                <w:b/>
                <w:spacing w:val="-11"/>
                <w:sz w:val="22"/>
              </w:rPr>
              <w:t> </w:t>
            </w:r>
            <w:r>
              <w:rPr>
                <w:b/>
                <w:spacing w:val="-2"/>
                <w:sz w:val="22"/>
              </w:rPr>
              <w:t>dos veículos</w:t>
            </w:r>
          </w:p>
        </w:tc>
        <w:tc>
          <w:tcPr>
            <w:tcW w:w="2835" w:type="dxa"/>
          </w:tcPr>
          <w:p>
            <w:pPr>
              <w:pStyle w:val="TableParagraph"/>
              <w:spacing w:before="35"/>
              <w:rPr>
                <w:b/>
                <w:sz w:val="22"/>
              </w:rPr>
            </w:pPr>
          </w:p>
          <w:p>
            <w:pPr>
              <w:pStyle w:val="TableParagraph"/>
              <w:spacing w:line="259" w:lineRule="auto"/>
              <w:ind w:left="25" w:right="789"/>
              <w:rPr>
                <w:sz w:val="22"/>
              </w:rPr>
            </w:pPr>
            <w:r>
              <w:rPr>
                <w:spacing w:val="-2"/>
                <w:sz w:val="22"/>
              </w:rPr>
              <w:t>Manter</w:t>
            </w:r>
            <w:r>
              <w:rPr>
                <w:spacing w:val="-11"/>
                <w:sz w:val="22"/>
              </w:rPr>
              <w:t> </w:t>
            </w:r>
            <w:r>
              <w:rPr>
                <w:spacing w:val="-2"/>
                <w:sz w:val="22"/>
              </w:rPr>
              <w:t>licenciamento, </w:t>
            </w:r>
            <w:r>
              <w:rPr>
                <w:sz w:val="22"/>
              </w:rPr>
              <w:t>CRLV,</w:t>
            </w:r>
            <w:r>
              <w:rPr>
                <w:spacing w:val="-13"/>
                <w:sz w:val="22"/>
              </w:rPr>
              <w:t> </w:t>
            </w:r>
            <w:r>
              <w:rPr>
                <w:sz w:val="22"/>
              </w:rPr>
              <w:t>taxas,</w:t>
            </w:r>
            <w:r>
              <w:rPr>
                <w:spacing w:val="-12"/>
                <w:sz w:val="22"/>
              </w:rPr>
              <w:t> </w:t>
            </w:r>
            <w:r>
              <w:rPr>
                <w:sz w:val="22"/>
              </w:rPr>
              <w:t>tributos</w:t>
            </w:r>
            <w:r>
              <w:rPr>
                <w:spacing w:val="-13"/>
                <w:sz w:val="22"/>
              </w:rPr>
              <w:t> </w:t>
            </w:r>
            <w:r>
              <w:rPr>
                <w:sz w:val="22"/>
              </w:rPr>
              <w:t>e demais documentos </w:t>
            </w:r>
            <w:r>
              <w:rPr>
                <w:spacing w:val="-2"/>
                <w:sz w:val="22"/>
              </w:rPr>
              <w:t>regulares</w:t>
            </w:r>
          </w:p>
        </w:tc>
        <w:tc>
          <w:tcPr>
            <w:tcW w:w="1397" w:type="dxa"/>
          </w:tcPr>
          <w:p>
            <w:pPr>
              <w:pStyle w:val="TableParagraph"/>
              <w:spacing w:before="186"/>
              <w:rPr>
                <w:b/>
                <w:sz w:val="22"/>
              </w:rPr>
            </w:pPr>
          </w:p>
          <w:p>
            <w:pPr>
              <w:pStyle w:val="TableParagraph"/>
              <w:spacing w:line="254" w:lineRule="auto"/>
              <w:ind w:left="23" w:right="69"/>
              <w:rPr>
                <w:sz w:val="22"/>
              </w:rPr>
            </w:pPr>
            <w:r>
              <w:rPr>
                <w:spacing w:val="-4"/>
                <w:sz w:val="22"/>
              </w:rPr>
              <w:t>Mensalmente </w:t>
            </w:r>
            <w:r>
              <w:rPr>
                <w:sz w:val="22"/>
              </w:rPr>
              <w:t>e por </w:t>
            </w:r>
            <w:r>
              <w:rPr>
                <w:spacing w:val="-2"/>
                <w:sz w:val="22"/>
              </w:rPr>
              <w:t>ocorrência</w:t>
            </w:r>
          </w:p>
        </w:tc>
        <w:tc>
          <w:tcPr>
            <w:tcW w:w="3565" w:type="dxa"/>
          </w:tcPr>
          <w:p>
            <w:pPr>
              <w:pStyle w:val="TableParagraph"/>
              <w:spacing w:line="259" w:lineRule="auto" w:before="13"/>
              <w:ind w:left="23" w:right="246"/>
              <w:rPr>
                <w:sz w:val="22"/>
              </w:rPr>
            </w:pPr>
            <w:r>
              <w:rPr>
                <w:sz w:val="22"/>
              </w:rPr>
              <w:t>Veículo</w:t>
            </w:r>
            <w:r>
              <w:rPr>
                <w:spacing w:val="-13"/>
                <w:sz w:val="22"/>
              </w:rPr>
              <w:t> </w:t>
            </w:r>
            <w:r>
              <w:rPr>
                <w:sz w:val="22"/>
              </w:rPr>
              <w:t>com</w:t>
            </w:r>
            <w:r>
              <w:rPr>
                <w:spacing w:val="-13"/>
                <w:sz w:val="22"/>
              </w:rPr>
              <w:t> </w:t>
            </w:r>
            <w:r>
              <w:rPr>
                <w:sz w:val="22"/>
              </w:rPr>
              <w:t>documentação</w:t>
            </w:r>
            <w:r>
              <w:rPr>
                <w:spacing w:val="-12"/>
                <w:sz w:val="22"/>
              </w:rPr>
              <w:t> </w:t>
            </w:r>
            <w:r>
              <w:rPr>
                <w:sz w:val="22"/>
              </w:rPr>
              <w:t>irregular impeditiva de circulação será considerado indisponível, com glosa proporcional até</w:t>
            </w:r>
          </w:p>
          <w:p>
            <w:pPr>
              <w:pStyle w:val="TableParagraph"/>
              <w:spacing w:before="1"/>
              <w:ind w:left="23"/>
              <w:rPr>
                <w:sz w:val="22"/>
              </w:rPr>
            </w:pPr>
            <w:r>
              <w:rPr>
                <w:spacing w:val="-2"/>
                <w:sz w:val="22"/>
              </w:rPr>
              <w:t>regularização</w:t>
            </w:r>
          </w:p>
        </w:tc>
      </w:tr>
      <w:tr>
        <w:trPr>
          <w:trHeight w:val="1852" w:hRule="atLeast"/>
        </w:trPr>
        <w:tc>
          <w:tcPr>
            <w:tcW w:w="2127" w:type="dxa"/>
          </w:tcPr>
          <w:p>
            <w:pPr>
              <w:pStyle w:val="TableParagraph"/>
              <w:rPr>
                <w:b/>
                <w:sz w:val="22"/>
              </w:rPr>
            </w:pPr>
          </w:p>
          <w:p>
            <w:pPr>
              <w:pStyle w:val="TableParagraph"/>
              <w:spacing w:before="203"/>
              <w:rPr>
                <w:b/>
                <w:sz w:val="22"/>
              </w:rPr>
            </w:pPr>
          </w:p>
          <w:p>
            <w:pPr>
              <w:pStyle w:val="TableParagraph"/>
              <w:spacing w:line="254" w:lineRule="auto"/>
              <w:ind w:left="23"/>
              <w:rPr>
                <w:b/>
                <w:sz w:val="22"/>
              </w:rPr>
            </w:pPr>
            <w:r>
              <w:rPr>
                <w:b/>
                <w:sz w:val="22"/>
              </w:rPr>
              <w:t>Proteção de dados e </w:t>
            </w:r>
            <w:r>
              <w:rPr>
                <w:b/>
                <w:spacing w:val="-2"/>
                <w:sz w:val="22"/>
              </w:rPr>
              <w:t>sigilo</w:t>
            </w:r>
            <w:r>
              <w:rPr>
                <w:b/>
                <w:spacing w:val="-11"/>
                <w:sz w:val="22"/>
              </w:rPr>
              <w:t> </w:t>
            </w:r>
            <w:r>
              <w:rPr>
                <w:b/>
                <w:spacing w:val="-2"/>
                <w:sz w:val="22"/>
              </w:rPr>
              <w:t>das</w:t>
            </w:r>
            <w:r>
              <w:rPr>
                <w:b/>
                <w:spacing w:val="-11"/>
                <w:sz w:val="22"/>
              </w:rPr>
              <w:t> </w:t>
            </w:r>
            <w:r>
              <w:rPr>
                <w:b/>
                <w:spacing w:val="-2"/>
                <w:sz w:val="22"/>
              </w:rPr>
              <w:t>informações</w:t>
            </w:r>
          </w:p>
        </w:tc>
        <w:tc>
          <w:tcPr>
            <w:tcW w:w="2835" w:type="dxa"/>
          </w:tcPr>
          <w:p>
            <w:pPr>
              <w:pStyle w:val="TableParagraph"/>
              <w:spacing w:before="35"/>
              <w:rPr>
                <w:b/>
                <w:sz w:val="22"/>
              </w:rPr>
            </w:pPr>
          </w:p>
          <w:p>
            <w:pPr>
              <w:pStyle w:val="TableParagraph"/>
              <w:spacing w:line="259" w:lineRule="auto"/>
              <w:ind w:left="25" w:right="80"/>
              <w:rPr>
                <w:sz w:val="22"/>
              </w:rPr>
            </w:pPr>
            <w:r>
              <w:rPr>
                <w:sz w:val="22"/>
              </w:rPr>
              <w:t>Observar a LGPD, sigilo, segurança da informação e uso adequado dos dados</w:t>
            </w:r>
            <w:r>
              <w:rPr>
                <w:spacing w:val="-11"/>
                <w:sz w:val="22"/>
              </w:rPr>
              <w:t> </w:t>
            </w:r>
            <w:r>
              <w:rPr>
                <w:sz w:val="22"/>
              </w:rPr>
              <w:t>de rastreamento</w:t>
            </w:r>
            <w:r>
              <w:rPr>
                <w:spacing w:val="-13"/>
                <w:sz w:val="22"/>
              </w:rPr>
              <w:t> </w:t>
            </w:r>
            <w:r>
              <w:rPr>
                <w:sz w:val="22"/>
              </w:rPr>
              <w:t>e</w:t>
            </w:r>
            <w:r>
              <w:rPr>
                <w:spacing w:val="-13"/>
                <w:sz w:val="22"/>
              </w:rPr>
              <w:t> </w:t>
            </w:r>
            <w:r>
              <w:rPr>
                <w:sz w:val="22"/>
              </w:rPr>
              <w:t>operação</w:t>
            </w:r>
            <w:r>
              <w:rPr>
                <w:spacing w:val="-12"/>
                <w:sz w:val="22"/>
              </w:rPr>
              <w:t> </w:t>
            </w:r>
            <w:r>
              <w:rPr>
                <w:sz w:val="22"/>
              </w:rPr>
              <w:t>da </w:t>
            </w:r>
            <w:r>
              <w:rPr>
                <w:spacing w:val="-2"/>
                <w:sz w:val="22"/>
              </w:rPr>
              <w:t>frota</w:t>
            </w:r>
          </w:p>
        </w:tc>
        <w:tc>
          <w:tcPr>
            <w:tcW w:w="1397" w:type="dxa"/>
          </w:tcPr>
          <w:p>
            <w:pPr>
              <w:pStyle w:val="TableParagraph"/>
              <w:rPr>
                <w:b/>
                <w:sz w:val="22"/>
              </w:rPr>
            </w:pPr>
          </w:p>
          <w:p>
            <w:pPr>
              <w:pStyle w:val="TableParagraph"/>
              <w:rPr>
                <w:b/>
                <w:sz w:val="22"/>
              </w:rPr>
            </w:pPr>
          </w:p>
          <w:p>
            <w:pPr>
              <w:pStyle w:val="TableParagraph"/>
              <w:spacing w:before="78"/>
              <w:rPr>
                <w:b/>
                <w:sz w:val="22"/>
              </w:rPr>
            </w:pPr>
          </w:p>
          <w:p>
            <w:pPr>
              <w:pStyle w:val="TableParagraph"/>
              <w:spacing w:before="1"/>
              <w:ind w:left="1" w:right="30"/>
              <w:jc w:val="center"/>
              <w:rPr>
                <w:sz w:val="22"/>
              </w:rPr>
            </w:pPr>
            <w:r>
              <w:rPr>
                <w:sz w:val="22"/>
              </w:rPr>
              <w:t>Por</w:t>
            </w:r>
            <w:r>
              <w:rPr>
                <w:spacing w:val="-8"/>
                <w:sz w:val="22"/>
              </w:rPr>
              <w:t> </w:t>
            </w:r>
            <w:r>
              <w:rPr>
                <w:spacing w:val="-2"/>
                <w:sz w:val="22"/>
              </w:rPr>
              <w:t>ocorrência</w:t>
            </w:r>
          </w:p>
        </w:tc>
        <w:tc>
          <w:tcPr>
            <w:tcW w:w="3565" w:type="dxa"/>
          </w:tcPr>
          <w:p>
            <w:pPr>
              <w:pStyle w:val="TableParagraph"/>
              <w:spacing w:line="259" w:lineRule="auto" w:before="15"/>
              <w:ind w:left="23" w:right="161"/>
              <w:rPr>
                <w:sz w:val="22"/>
              </w:rPr>
            </w:pPr>
            <w:r>
              <w:rPr>
                <w:sz w:val="22"/>
              </w:rPr>
              <w:t>Incidente, uso indevido ou compartilhamento irregular poderá ensejar notificação, sanções administrativas e apuração de </w:t>
            </w:r>
            <w:r>
              <w:rPr>
                <w:spacing w:val="-2"/>
                <w:sz w:val="22"/>
              </w:rPr>
              <w:t>responsabilidade,</w:t>
            </w:r>
            <w:r>
              <w:rPr>
                <w:spacing w:val="-11"/>
                <w:sz w:val="22"/>
              </w:rPr>
              <w:t> </w:t>
            </w:r>
            <w:r>
              <w:rPr>
                <w:spacing w:val="-2"/>
                <w:sz w:val="22"/>
              </w:rPr>
              <w:t>conforme</w:t>
            </w:r>
            <w:r>
              <w:rPr>
                <w:spacing w:val="-10"/>
                <w:sz w:val="22"/>
              </w:rPr>
              <w:t> </w:t>
            </w:r>
            <w:r>
              <w:rPr>
                <w:spacing w:val="-2"/>
                <w:sz w:val="22"/>
              </w:rPr>
              <w:t>gravidade</w:t>
            </w:r>
          </w:p>
        </w:tc>
      </w:tr>
    </w:tbl>
    <w:p>
      <w:pPr>
        <w:pStyle w:val="TableParagraph"/>
        <w:spacing w:after="0" w:line="259" w:lineRule="auto"/>
        <w:rPr>
          <w:sz w:val="22"/>
        </w:rPr>
        <w:sectPr>
          <w:type w:val="continuous"/>
          <w:pgSz w:w="11920" w:h="16850"/>
          <w:pgMar w:top="1360" w:bottom="280" w:left="1133" w:right="566"/>
        </w:sectPr>
      </w:pPr>
    </w:p>
    <w:p>
      <w:pPr>
        <w:spacing w:line="20" w:lineRule="exact"/>
        <w:ind w:left="566" w:right="0" w:firstLine="0"/>
        <w:rPr>
          <w:sz w:val="2"/>
        </w:rPr>
      </w:pPr>
      <w:r>
        <w:rPr>
          <w:sz w:val="2"/>
        </w:rPr>
        <mc:AlternateContent>
          <mc:Choice Requires="wps">
            <w:drawing>
              <wp:inline distT="0" distB="0" distL="0" distR="0">
                <wp:extent cx="5403215" cy="6350"/>
                <wp:effectExtent l="0" t="0" r="0" b="0"/>
                <wp:docPr id="4" name="Group 4"/>
                <wp:cNvGraphicFramePr>
                  <a:graphicFrameLocks/>
                </wp:cNvGraphicFramePr>
                <a:graphic>
                  <a:graphicData uri="http://schemas.microsoft.com/office/word/2010/wordprocessingGroup">
                    <wpg:wgp>
                      <wpg:cNvPr id="4" name="Group 4"/>
                      <wpg:cNvGrpSpPr/>
                      <wpg:grpSpPr>
                        <a:xfrm>
                          <a:off x="0" y="0"/>
                          <a:ext cx="5403215" cy="6350"/>
                          <a:chExt cx="5403215" cy="6350"/>
                        </a:xfrm>
                      </wpg:grpSpPr>
                      <wps:wsp>
                        <wps:cNvPr id="5" name="Graphic 5"/>
                        <wps:cNvSpPr/>
                        <wps:spPr>
                          <a:xfrm>
                            <a:off x="0" y="0"/>
                            <a:ext cx="5403215" cy="6350"/>
                          </a:xfrm>
                          <a:custGeom>
                            <a:avLst/>
                            <a:gdLst/>
                            <a:ahLst/>
                            <a:cxnLst/>
                            <a:rect l="l" t="t" r="r" b="b"/>
                            <a:pathLst>
                              <a:path w="5403215" h="6350">
                                <a:moveTo>
                                  <a:pt x="3022" y="3060"/>
                                </a:moveTo>
                                <a:lnTo>
                                  <a:pt x="0" y="3060"/>
                                </a:lnTo>
                                <a:lnTo>
                                  <a:pt x="0" y="6096"/>
                                </a:lnTo>
                                <a:lnTo>
                                  <a:pt x="3022" y="6096"/>
                                </a:lnTo>
                                <a:lnTo>
                                  <a:pt x="3022" y="3060"/>
                                </a:lnTo>
                                <a:close/>
                              </a:path>
                              <a:path w="5403215" h="6350">
                                <a:moveTo>
                                  <a:pt x="3022" y="0"/>
                                </a:moveTo>
                                <a:lnTo>
                                  <a:pt x="0" y="0"/>
                                </a:lnTo>
                                <a:lnTo>
                                  <a:pt x="0" y="3048"/>
                                </a:lnTo>
                                <a:lnTo>
                                  <a:pt x="3022" y="3048"/>
                                </a:lnTo>
                                <a:lnTo>
                                  <a:pt x="3022" y="0"/>
                                </a:lnTo>
                                <a:close/>
                              </a:path>
                              <a:path w="5403215" h="6350">
                                <a:moveTo>
                                  <a:pt x="5403088" y="0"/>
                                </a:moveTo>
                                <a:lnTo>
                                  <a:pt x="3048" y="0"/>
                                </a:lnTo>
                                <a:lnTo>
                                  <a:pt x="3048" y="3048"/>
                                </a:lnTo>
                                <a:lnTo>
                                  <a:pt x="3048" y="6096"/>
                                </a:lnTo>
                                <a:lnTo>
                                  <a:pt x="5403088" y="6096"/>
                                </a:lnTo>
                                <a:lnTo>
                                  <a:pt x="5403088" y="3048"/>
                                </a:lnTo>
                                <a:lnTo>
                                  <a:pt x="5403088" y="0"/>
                                </a:lnTo>
                                <a:close/>
                              </a:path>
                            </a:pathLst>
                          </a:custGeom>
                          <a:solidFill>
                            <a:srgbClr val="9F9F9F"/>
                          </a:solidFill>
                        </wps:spPr>
                        <wps:bodyPr wrap="square" lIns="0" tIns="0" rIns="0" bIns="0" rtlCol="0">
                          <a:prstTxWarp prst="textNoShape">
                            <a:avLst/>
                          </a:prstTxWarp>
                          <a:noAutofit/>
                        </wps:bodyPr>
                      </wps:wsp>
                    </wpg:wgp>
                  </a:graphicData>
                </a:graphic>
              </wp:inline>
            </w:drawing>
          </mc:Choice>
          <mc:Fallback>
            <w:pict>
              <v:group style="width:425.45pt;height:.5pt;mso-position-horizontal-relative:char;mso-position-vertical-relative:line" id="docshapegroup3" coordorigin="0,0" coordsize="8509,10">
                <v:shape style="position:absolute;left:0;top:0;width:8509;height:10" id="docshape4" coordorigin="0,0" coordsize="8509,10" path="m5,5l0,5,0,10,5,10,5,5xm5,0l0,0,0,5,5,5,5,0xm8509,0l5,0,5,5,5,10,8509,10,8509,5,8509,0xe" filled="true" fillcolor="#9f9f9f" stroked="false">
                  <v:path arrowok="t"/>
                  <v:fill type="solid"/>
                </v:shape>
              </v:group>
            </w:pict>
          </mc:Fallback>
        </mc:AlternateContent>
      </w:r>
      <w:r>
        <w:rPr>
          <w:sz w:val="2"/>
        </w:rPr>
      </w:r>
    </w:p>
    <w:p>
      <w:pPr>
        <w:pStyle w:val="Heading1"/>
        <w:numPr>
          <w:ilvl w:val="0"/>
          <w:numId w:val="1"/>
        </w:numPr>
        <w:tabs>
          <w:tab w:pos="778" w:val="left" w:leader="none"/>
        </w:tabs>
        <w:spacing w:line="240" w:lineRule="auto" w:before="209" w:after="0"/>
        <w:ind w:left="778" w:right="0" w:hanging="212"/>
        <w:jc w:val="left"/>
      </w:pPr>
      <w:r>
        <w:rPr>
          <w:spacing w:val="-2"/>
        </w:rPr>
        <w:t>Procedimento de</w:t>
      </w:r>
      <w:r>
        <w:rPr>
          <w:spacing w:val="1"/>
        </w:rPr>
        <w:t> </w:t>
      </w:r>
      <w:r>
        <w:rPr>
          <w:spacing w:val="-2"/>
        </w:rPr>
        <w:t>apuração</w:t>
      </w:r>
    </w:p>
    <w:p>
      <w:pPr>
        <w:pStyle w:val="ListParagraph"/>
        <w:numPr>
          <w:ilvl w:val="1"/>
          <w:numId w:val="1"/>
        </w:numPr>
        <w:tabs>
          <w:tab w:pos="948" w:val="left" w:leader="none"/>
        </w:tabs>
        <w:spacing w:line="254" w:lineRule="auto" w:before="185" w:after="0"/>
        <w:ind w:left="566" w:right="1154" w:firstLine="0"/>
        <w:jc w:val="both"/>
        <w:rPr>
          <w:sz w:val="22"/>
        </w:rPr>
      </w:pPr>
      <w:r>
        <w:rPr>
          <w:sz w:val="22"/>
        </w:rPr>
        <w:t>A</w:t>
      </w:r>
      <w:r>
        <w:rPr>
          <w:spacing w:val="-13"/>
          <w:sz w:val="22"/>
        </w:rPr>
        <w:t> </w:t>
      </w:r>
      <w:r>
        <w:rPr>
          <w:sz w:val="22"/>
        </w:rPr>
        <w:t>fiscalização</w:t>
      </w:r>
      <w:r>
        <w:rPr>
          <w:spacing w:val="-12"/>
          <w:sz w:val="22"/>
        </w:rPr>
        <w:t> </w:t>
      </w:r>
      <w:r>
        <w:rPr>
          <w:sz w:val="22"/>
        </w:rPr>
        <w:t>contratual</w:t>
      </w:r>
      <w:r>
        <w:rPr>
          <w:spacing w:val="-13"/>
          <w:sz w:val="22"/>
        </w:rPr>
        <w:t> </w:t>
      </w:r>
      <w:r>
        <w:rPr>
          <w:sz w:val="22"/>
        </w:rPr>
        <w:t>deverá</w:t>
      </w:r>
      <w:r>
        <w:rPr>
          <w:spacing w:val="-12"/>
          <w:sz w:val="22"/>
        </w:rPr>
        <w:t> </w:t>
      </w:r>
      <w:r>
        <w:rPr>
          <w:sz w:val="22"/>
        </w:rPr>
        <w:t>registrar</w:t>
      </w:r>
      <w:r>
        <w:rPr>
          <w:spacing w:val="-13"/>
          <w:sz w:val="22"/>
        </w:rPr>
        <w:t> </w:t>
      </w:r>
      <w:r>
        <w:rPr>
          <w:sz w:val="22"/>
        </w:rPr>
        <w:t>as</w:t>
      </w:r>
      <w:r>
        <w:rPr>
          <w:spacing w:val="-12"/>
          <w:sz w:val="22"/>
        </w:rPr>
        <w:t> </w:t>
      </w:r>
      <w:r>
        <w:rPr>
          <w:sz w:val="22"/>
        </w:rPr>
        <w:t>ocorrências</w:t>
      </w:r>
      <w:r>
        <w:rPr>
          <w:spacing w:val="-13"/>
          <w:sz w:val="22"/>
        </w:rPr>
        <w:t> </w:t>
      </w:r>
      <w:r>
        <w:rPr>
          <w:sz w:val="22"/>
        </w:rPr>
        <w:t>identificadas</w:t>
      </w:r>
      <w:r>
        <w:rPr>
          <w:spacing w:val="-12"/>
          <w:sz w:val="22"/>
        </w:rPr>
        <w:t> </w:t>
      </w:r>
      <w:r>
        <w:rPr>
          <w:sz w:val="22"/>
        </w:rPr>
        <w:t>durante</w:t>
      </w:r>
      <w:r>
        <w:rPr>
          <w:spacing w:val="-12"/>
          <w:sz w:val="22"/>
        </w:rPr>
        <w:t> </w:t>
      </w:r>
      <w:r>
        <w:rPr>
          <w:sz w:val="22"/>
        </w:rPr>
        <w:t>a</w:t>
      </w:r>
      <w:r>
        <w:rPr>
          <w:spacing w:val="-13"/>
          <w:sz w:val="22"/>
        </w:rPr>
        <w:t> </w:t>
      </w:r>
      <w:r>
        <w:rPr>
          <w:sz w:val="22"/>
        </w:rPr>
        <w:t>execução</w:t>
      </w:r>
      <w:r>
        <w:rPr>
          <w:spacing w:val="-12"/>
          <w:sz w:val="22"/>
        </w:rPr>
        <w:t> </w:t>
      </w:r>
      <w:r>
        <w:rPr>
          <w:sz w:val="22"/>
        </w:rPr>
        <w:t>do contrato, indicando, sempre que possível:</w:t>
      </w:r>
    </w:p>
    <w:p>
      <w:pPr>
        <w:pStyle w:val="ListParagraph"/>
        <w:numPr>
          <w:ilvl w:val="0"/>
          <w:numId w:val="4"/>
        </w:numPr>
        <w:tabs>
          <w:tab w:pos="791" w:val="left" w:leader="none"/>
        </w:tabs>
        <w:spacing w:line="240" w:lineRule="auto" w:before="168" w:after="0"/>
        <w:ind w:left="791" w:right="0" w:hanging="225"/>
        <w:jc w:val="left"/>
        <w:rPr>
          <w:sz w:val="22"/>
        </w:rPr>
      </w:pPr>
      <w:r>
        <w:rPr>
          <w:sz w:val="22"/>
        </w:rPr>
        <w:t>data</w:t>
      </w:r>
      <w:r>
        <w:rPr>
          <w:spacing w:val="-9"/>
          <w:sz w:val="22"/>
        </w:rPr>
        <w:t> </w:t>
      </w:r>
      <w:r>
        <w:rPr>
          <w:sz w:val="22"/>
        </w:rPr>
        <w:t>e</w:t>
      </w:r>
      <w:r>
        <w:rPr>
          <w:spacing w:val="-5"/>
          <w:sz w:val="22"/>
        </w:rPr>
        <w:t> </w:t>
      </w:r>
      <w:r>
        <w:rPr>
          <w:sz w:val="22"/>
        </w:rPr>
        <w:t>horário</w:t>
      </w:r>
      <w:r>
        <w:rPr>
          <w:spacing w:val="-5"/>
          <w:sz w:val="22"/>
        </w:rPr>
        <w:t> </w:t>
      </w:r>
      <w:r>
        <w:rPr>
          <w:sz w:val="22"/>
        </w:rPr>
        <w:t>da</w:t>
      </w:r>
      <w:r>
        <w:rPr>
          <w:spacing w:val="-8"/>
          <w:sz w:val="22"/>
        </w:rPr>
        <w:t> </w:t>
      </w:r>
      <w:r>
        <w:rPr>
          <w:spacing w:val="-2"/>
          <w:sz w:val="22"/>
        </w:rPr>
        <w:t>ocorrência;</w:t>
      </w:r>
    </w:p>
    <w:p>
      <w:pPr>
        <w:pStyle w:val="ListParagraph"/>
        <w:numPr>
          <w:ilvl w:val="0"/>
          <w:numId w:val="4"/>
        </w:numPr>
        <w:tabs>
          <w:tab w:pos="801" w:val="left" w:leader="none"/>
        </w:tabs>
        <w:spacing w:line="240" w:lineRule="auto" w:before="182" w:after="0"/>
        <w:ind w:left="801" w:right="0" w:hanging="235"/>
        <w:jc w:val="left"/>
        <w:rPr>
          <w:sz w:val="22"/>
        </w:rPr>
      </w:pPr>
      <w:r>
        <w:rPr>
          <w:sz w:val="22"/>
        </w:rPr>
        <w:t>placa</w:t>
      </w:r>
      <w:r>
        <w:rPr>
          <w:spacing w:val="-12"/>
          <w:sz w:val="22"/>
        </w:rPr>
        <w:t> </w:t>
      </w:r>
      <w:r>
        <w:rPr>
          <w:sz w:val="22"/>
        </w:rPr>
        <w:t>e</w:t>
      </w:r>
      <w:r>
        <w:rPr>
          <w:spacing w:val="-9"/>
          <w:sz w:val="22"/>
        </w:rPr>
        <w:t> </w:t>
      </w:r>
      <w:r>
        <w:rPr>
          <w:sz w:val="22"/>
        </w:rPr>
        <w:t>identificação</w:t>
      </w:r>
      <w:r>
        <w:rPr>
          <w:spacing w:val="-12"/>
          <w:sz w:val="22"/>
        </w:rPr>
        <w:t> </w:t>
      </w:r>
      <w:r>
        <w:rPr>
          <w:sz w:val="22"/>
        </w:rPr>
        <w:t>do</w:t>
      </w:r>
      <w:r>
        <w:rPr>
          <w:spacing w:val="-11"/>
          <w:sz w:val="22"/>
        </w:rPr>
        <w:t> </w:t>
      </w:r>
      <w:r>
        <w:rPr>
          <w:sz w:val="22"/>
        </w:rPr>
        <w:t>veículo</w:t>
      </w:r>
      <w:r>
        <w:rPr>
          <w:spacing w:val="-9"/>
          <w:sz w:val="22"/>
        </w:rPr>
        <w:t> </w:t>
      </w:r>
      <w:r>
        <w:rPr>
          <w:spacing w:val="-2"/>
          <w:sz w:val="22"/>
        </w:rPr>
        <w:t>afetado;</w:t>
      </w:r>
    </w:p>
    <w:p>
      <w:pPr>
        <w:pStyle w:val="ListParagraph"/>
        <w:numPr>
          <w:ilvl w:val="0"/>
          <w:numId w:val="4"/>
        </w:numPr>
        <w:tabs>
          <w:tab w:pos="771" w:val="left" w:leader="none"/>
        </w:tabs>
        <w:spacing w:line="240" w:lineRule="auto" w:before="178" w:after="0"/>
        <w:ind w:left="771" w:right="0" w:hanging="205"/>
        <w:jc w:val="left"/>
        <w:rPr>
          <w:sz w:val="22"/>
        </w:rPr>
      </w:pPr>
      <w:r>
        <w:rPr>
          <w:spacing w:val="-2"/>
          <w:sz w:val="22"/>
        </w:rPr>
        <w:t>obrigação</w:t>
      </w:r>
      <w:r>
        <w:rPr>
          <w:spacing w:val="-3"/>
          <w:sz w:val="22"/>
        </w:rPr>
        <w:t> </w:t>
      </w:r>
      <w:r>
        <w:rPr>
          <w:spacing w:val="-2"/>
          <w:sz w:val="22"/>
        </w:rPr>
        <w:t>descumprida;</w:t>
      </w:r>
    </w:p>
    <w:p>
      <w:pPr>
        <w:pStyle w:val="BodyText"/>
        <w:spacing w:before="39"/>
        <w:ind w:left="0"/>
      </w:pPr>
    </w:p>
    <w:p>
      <w:pPr>
        <w:pStyle w:val="ListParagraph"/>
        <w:numPr>
          <w:ilvl w:val="0"/>
          <w:numId w:val="4"/>
        </w:numPr>
        <w:tabs>
          <w:tab w:pos="801" w:val="left" w:leader="none"/>
        </w:tabs>
        <w:spacing w:line="240" w:lineRule="auto" w:before="0" w:after="0"/>
        <w:ind w:left="801" w:right="0" w:hanging="235"/>
        <w:jc w:val="left"/>
        <w:rPr>
          <w:sz w:val="22"/>
        </w:rPr>
      </w:pPr>
      <w:r>
        <w:rPr>
          <w:sz w:val="22"/>
        </w:rPr>
        <w:t>descrição</w:t>
      </w:r>
      <w:r>
        <w:rPr>
          <w:spacing w:val="-8"/>
          <w:sz w:val="22"/>
        </w:rPr>
        <w:t> </w:t>
      </w:r>
      <w:r>
        <w:rPr>
          <w:sz w:val="22"/>
        </w:rPr>
        <w:t>da</w:t>
      </w:r>
      <w:r>
        <w:rPr>
          <w:spacing w:val="-8"/>
          <w:sz w:val="22"/>
        </w:rPr>
        <w:t> </w:t>
      </w:r>
      <w:r>
        <w:rPr>
          <w:spacing w:val="-2"/>
          <w:sz w:val="22"/>
        </w:rPr>
        <w:t>falha;</w:t>
      </w:r>
    </w:p>
    <w:p>
      <w:pPr>
        <w:pStyle w:val="ListParagraph"/>
        <w:numPr>
          <w:ilvl w:val="0"/>
          <w:numId w:val="4"/>
        </w:numPr>
        <w:tabs>
          <w:tab w:pos="790" w:val="left" w:leader="none"/>
        </w:tabs>
        <w:spacing w:line="240" w:lineRule="auto" w:before="183" w:after="0"/>
        <w:ind w:left="790" w:right="0" w:hanging="224"/>
        <w:jc w:val="left"/>
        <w:rPr>
          <w:sz w:val="22"/>
        </w:rPr>
      </w:pPr>
      <w:r>
        <w:rPr>
          <w:spacing w:val="-2"/>
          <w:sz w:val="22"/>
        </w:rPr>
        <w:t>documentos, fotos,</w:t>
      </w:r>
      <w:r>
        <w:rPr>
          <w:spacing w:val="6"/>
          <w:sz w:val="22"/>
        </w:rPr>
        <w:t> </w:t>
      </w:r>
      <w:r>
        <w:rPr>
          <w:spacing w:val="-2"/>
          <w:sz w:val="22"/>
        </w:rPr>
        <w:t>relatórios,</w:t>
      </w:r>
      <w:r>
        <w:rPr>
          <w:spacing w:val="-1"/>
          <w:sz w:val="22"/>
        </w:rPr>
        <w:t> </w:t>
      </w:r>
      <w:r>
        <w:rPr>
          <w:spacing w:val="-2"/>
          <w:sz w:val="22"/>
        </w:rPr>
        <w:t>chamados</w:t>
      </w:r>
      <w:r>
        <w:rPr>
          <w:sz w:val="22"/>
        </w:rPr>
        <w:t> </w:t>
      </w:r>
      <w:r>
        <w:rPr>
          <w:spacing w:val="-2"/>
          <w:sz w:val="22"/>
        </w:rPr>
        <w:t>ou</w:t>
      </w:r>
      <w:r>
        <w:rPr>
          <w:spacing w:val="1"/>
          <w:sz w:val="22"/>
        </w:rPr>
        <w:t> </w:t>
      </w:r>
      <w:r>
        <w:rPr>
          <w:spacing w:val="-2"/>
          <w:sz w:val="22"/>
        </w:rPr>
        <w:t>demais</w:t>
      </w:r>
      <w:r>
        <w:rPr>
          <w:spacing w:val="1"/>
          <w:sz w:val="22"/>
        </w:rPr>
        <w:t> </w:t>
      </w:r>
      <w:r>
        <w:rPr>
          <w:spacing w:val="-2"/>
          <w:sz w:val="22"/>
        </w:rPr>
        <w:t>evidências;</w:t>
      </w:r>
    </w:p>
    <w:p>
      <w:pPr>
        <w:pStyle w:val="ListParagraph"/>
        <w:numPr>
          <w:ilvl w:val="0"/>
          <w:numId w:val="4"/>
        </w:numPr>
        <w:tabs>
          <w:tab w:pos="751" w:val="left" w:leader="none"/>
        </w:tabs>
        <w:spacing w:line="240" w:lineRule="auto" w:before="182" w:after="0"/>
        <w:ind w:left="751" w:right="0" w:hanging="185"/>
        <w:jc w:val="left"/>
        <w:rPr>
          <w:sz w:val="22"/>
        </w:rPr>
      </w:pPr>
      <w:r>
        <w:rPr>
          <w:spacing w:val="-2"/>
          <w:sz w:val="22"/>
        </w:rPr>
        <w:t>prazo</w:t>
      </w:r>
      <w:r>
        <w:rPr>
          <w:spacing w:val="-3"/>
          <w:sz w:val="22"/>
        </w:rPr>
        <w:t> </w:t>
      </w:r>
      <w:r>
        <w:rPr>
          <w:spacing w:val="-2"/>
          <w:sz w:val="22"/>
        </w:rPr>
        <w:t>concedido</w:t>
      </w:r>
      <w:r>
        <w:rPr>
          <w:spacing w:val="-1"/>
          <w:sz w:val="22"/>
        </w:rPr>
        <w:t> </w:t>
      </w:r>
      <w:r>
        <w:rPr>
          <w:spacing w:val="-2"/>
          <w:sz w:val="22"/>
        </w:rPr>
        <w:t>para</w:t>
      </w:r>
      <w:r>
        <w:rPr>
          <w:spacing w:val="-3"/>
          <w:sz w:val="22"/>
        </w:rPr>
        <w:t> </w:t>
      </w:r>
      <w:r>
        <w:rPr>
          <w:spacing w:val="-2"/>
          <w:sz w:val="22"/>
        </w:rPr>
        <w:t>regularização,</w:t>
      </w:r>
      <w:r>
        <w:rPr>
          <w:spacing w:val="-3"/>
          <w:sz w:val="22"/>
        </w:rPr>
        <w:t> </w:t>
      </w:r>
      <w:r>
        <w:rPr>
          <w:spacing w:val="-2"/>
          <w:sz w:val="22"/>
        </w:rPr>
        <w:t>quando</w:t>
      </w:r>
      <w:r>
        <w:rPr>
          <w:spacing w:val="-4"/>
          <w:sz w:val="22"/>
        </w:rPr>
        <w:t> </w:t>
      </w:r>
      <w:r>
        <w:rPr>
          <w:spacing w:val="-2"/>
          <w:sz w:val="22"/>
        </w:rPr>
        <w:t>cabível;</w:t>
      </w:r>
    </w:p>
    <w:p>
      <w:pPr>
        <w:pStyle w:val="ListParagraph"/>
        <w:numPr>
          <w:ilvl w:val="0"/>
          <w:numId w:val="4"/>
        </w:numPr>
        <w:tabs>
          <w:tab w:pos="786" w:val="left" w:leader="none"/>
        </w:tabs>
        <w:spacing w:line="240" w:lineRule="auto" w:before="179" w:after="0"/>
        <w:ind w:left="786" w:right="0" w:hanging="220"/>
        <w:jc w:val="left"/>
        <w:rPr>
          <w:sz w:val="22"/>
        </w:rPr>
      </w:pPr>
      <w:r>
        <w:rPr>
          <w:spacing w:val="-2"/>
          <w:sz w:val="22"/>
        </w:rPr>
        <w:t>impacto</w:t>
      </w:r>
      <w:r>
        <w:rPr>
          <w:spacing w:val="-4"/>
          <w:sz w:val="22"/>
        </w:rPr>
        <w:t> </w:t>
      </w:r>
      <w:r>
        <w:rPr>
          <w:spacing w:val="-2"/>
          <w:sz w:val="22"/>
        </w:rPr>
        <w:t>na execução</w:t>
      </w:r>
      <w:r>
        <w:rPr>
          <w:spacing w:val="-1"/>
          <w:sz w:val="22"/>
        </w:rPr>
        <w:t> </w:t>
      </w:r>
      <w:r>
        <w:rPr>
          <w:spacing w:val="-2"/>
          <w:sz w:val="22"/>
        </w:rPr>
        <w:t>contratual;</w:t>
      </w:r>
    </w:p>
    <w:p>
      <w:pPr>
        <w:pStyle w:val="ListParagraph"/>
        <w:numPr>
          <w:ilvl w:val="0"/>
          <w:numId w:val="4"/>
        </w:numPr>
        <w:tabs>
          <w:tab w:pos="801" w:val="left" w:leader="none"/>
        </w:tabs>
        <w:spacing w:line="240" w:lineRule="auto" w:before="182" w:after="0"/>
        <w:ind w:left="801" w:right="0" w:hanging="235"/>
        <w:jc w:val="left"/>
        <w:rPr>
          <w:sz w:val="22"/>
        </w:rPr>
      </w:pPr>
      <w:r>
        <w:rPr>
          <w:sz w:val="22"/>
        </w:rPr>
        <w:t>cálculo</w:t>
      </w:r>
      <w:r>
        <w:rPr>
          <w:spacing w:val="-9"/>
          <w:sz w:val="22"/>
        </w:rPr>
        <w:t> </w:t>
      </w:r>
      <w:r>
        <w:rPr>
          <w:sz w:val="22"/>
        </w:rPr>
        <w:t>da</w:t>
      </w:r>
      <w:r>
        <w:rPr>
          <w:spacing w:val="-8"/>
          <w:sz w:val="22"/>
        </w:rPr>
        <w:t> </w:t>
      </w:r>
      <w:r>
        <w:rPr>
          <w:sz w:val="22"/>
        </w:rPr>
        <w:t>glosa</w:t>
      </w:r>
      <w:r>
        <w:rPr>
          <w:spacing w:val="-9"/>
          <w:sz w:val="22"/>
        </w:rPr>
        <w:t> </w:t>
      </w:r>
      <w:r>
        <w:rPr>
          <w:sz w:val="22"/>
        </w:rPr>
        <w:t>ou</w:t>
      </w:r>
      <w:r>
        <w:rPr>
          <w:spacing w:val="-11"/>
          <w:sz w:val="22"/>
        </w:rPr>
        <w:t> </w:t>
      </w:r>
      <w:r>
        <w:rPr>
          <w:sz w:val="22"/>
        </w:rPr>
        <w:t>desconto</w:t>
      </w:r>
      <w:r>
        <w:rPr>
          <w:spacing w:val="-8"/>
          <w:sz w:val="22"/>
        </w:rPr>
        <w:t> </w:t>
      </w:r>
      <w:r>
        <w:rPr>
          <w:spacing w:val="-2"/>
          <w:sz w:val="22"/>
        </w:rPr>
        <w:t>proporcional.</w:t>
      </w:r>
    </w:p>
    <w:p>
      <w:pPr>
        <w:pStyle w:val="ListParagraph"/>
        <w:numPr>
          <w:ilvl w:val="1"/>
          <w:numId w:val="1"/>
        </w:numPr>
        <w:tabs>
          <w:tab w:pos="948" w:val="left" w:leader="none"/>
        </w:tabs>
        <w:spacing w:line="259" w:lineRule="auto" w:before="185" w:after="0"/>
        <w:ind w:left="566" w:right="1134" w:firstLine="0"/>
        <w:jc w:val="both"/>
        <w:rPr>
          <w:sz w:val="22"/>
        </w:rPr>
      </w:pPr>
      <w:r>
        <w:rPr>
          <w:sz w:val="22"/>
        </w:rPr>
        <w:t>A contratada deverá ser cientificada das ocorrências registradas e poderá apresentar justificativas, esclarecimentos ou comprovação de regularização no prazo definido pela fiscalização contratual.</w:t>
      </w:r>
    </w:p>
    <w:p>
      <w:pPr>
        <w:pStyle w:val="ListParagraph"/>
        <w:numPr>
          <w:ilvl w:val="1"/>
          <w:numId w:val="1"/>
        </w:numPr>
        <w:tabs>
          <w:tab w:pos="948" w:val="left" w:leader="none"/>
        </w:tabs>
        <w:spacing w:line="259" w:lineRule="auto" w:before="157" w:after="0"/>
        <w:ind w:left="566" w:right="1134" w:firstLine="0"/>
        <w:jc w:val="both"/>
        <w:rPr>
          <w:sz w:val="22"/>
        </w:rPr>
      </w:pPr>
      <w:r>
        <w:rPr>
          <w:sz w:val="22"/>
        </w:rPr>
        <w:t>A justificativa apresentada pela contratada será analisada pela fiscalização contratual, que poderá manter, afastar ou ajustar a glosa, conforme as evidências constantes dos autos.</w:t>
      </w:r>
    </w:p>
    <w:p>
      <w:pPr>
        <w:pStyle w:val="ListParagraph"/>
        <w:numPr>
          <w:ilvl w:val="1"/>
          <w:numId w:val="1"/>
        </w:numPr>
        <w:tabs>
          <w:tab w:pos="948" w:val="left" w:leader="none"/>
        </w:tabs>
        <w:spacing w:line="259" w:lineRule="auto" w:before="157" w:after="0"/>
        <w:ind w:left="566" w:right="1137" w:firstLine="0"/>
        <w:jc w:val="both"/>
        <w:rPr>
          <w:sz w:val="22"/>
        </w:rPr>
      </w:pPr>
      <w:r>
        <w:rPr>
          <w:sz w:val="22"/>
        </w:rPr>
        <w:t>A glosa aprovada pela fiscalização deverá ser registrada no processo administrativo e considerada na medição mensal, no atesto da nota fiscal ou em documento próprio de ajuste </w:t>
      </w:r>
      <w:r>
        <w:rPr>
          <w:spacing w:val="-2"/>
          <w:sz w:val="22"/>
        </w:rPr>
        <w:t>financeiro.</w:t>
      </w:r>
    </w:p>
    <w:p>
      <w:pPr>
        <w:pStyle w:val="BodyText"/>
        <w:spacing w:before="106"/>
        <w:ind w:left="0"/>
        <w:rPr>
          <w:sz w:val="20"/>
        </w:rPr>
      </w:pPr>
      <w:r>
        <w:rPr>
          <w:sz w:val="20"/>
        </w:rPr>
        <mc:AlternateContent>
          <mc:Choice Requires="wps">
            <w:drawing>
              <wp:anchor distT="0" distB="0" distL="0" distR="0" allowOverlap="1" layoutInCell="1" locked="0" behindDoc="1" simplePos="0" relativeHeight="487589376">
                <wp:simplePos x="0" y="0"/>
                <wp:positionH relativeFrom="page">
                  <wp:posOffset>1078865</wp:posOffset>
                </wp:positionH>
                <wp:positionV relativeFrom="paragraph">
                  <wp:posOffset>238127</wp:posOffset>
                </wp:positionV>
                <wp:extent cx="5403215" cy="6350"/>
                <wp:effectExtent l="0" t="0" r="0" b="0"/>
                <wp:wrapTopAndBottom/>
                <wp:docPr id="6" name="Graphic 6"/>
                <wp:cNvGraphicFramePr>
                  <a:graphicFrameLocks/>
                </wp:cNvGraphicFramePr>
                <a:graphic>
                  <a:graphicData uri="http://schemas.microsoft.com/office/word/2010/wordprocessingShape">
                    <wps:wsp>
                      <wps:cNvPr id="6" name="Graphic 6"/>
                      <wps:cNvSpPr/>
                      <wps:spPr>
                        <a:xfrm>
                          <a:off x="0" y="0"/>
                          <a:ext cx="5403215" cy="6350"/>
                        </a:xfrm>
                        <a:custGeom>
                          <a:avLst/>
                          <a:gdLst/>
                          <a:ahLst/>
                          <a:cxnLst/>
                          <a:rect l="l" t="t" r="r" b="b"/>
                          <a:pathLst>
                            <a:path w="5403215" h="6350">
                              <a:moveTo>
                                <a:pt x="3022" y="3060"/>
                              </a:moveTo>
                              <a:lnTo>
                                <a:pt x="0" y="3060"/>
                              </a:lnTo>
                              <a:lnTo>
                                <a:pt x="0" y="6096"/>
                              </a:lnTo>
                              <a:lnTo>
                                <a:pt x="3022" y="6096"/>
                              </a:lnTo>
                              <a:lnTo>
                                <a:pt x="3022" y="3060"/>
                              </a:lnTo>
                              <a:close/>
                            </a:path>
                            <a:path w="5403215" h="6350">
                              <a:moveTo>
                                <a:pt x="3022" y="12"/>
                              </a:moveTo>
                              <a:lnTo>
                                <a:pt x="0" y="12"/>
                              </a:lnTo>
                              <a:lnTo>
                                <a:pt x="0" y="3048"/>
                              </a:lnTo>
                              <a:lnTo>
                                <a:pt x="3022" y="3048"/>
                              </a:lnTo>
                              <a:lnTo>
                                <a:pt x="3022" y="12"/>
                              </a:lnTo>
                              <a:close/>
                            </a:path>
                            <a:path w="5403215" h="6350">
                              <a:moveTo>
                                <a:pt x="5403088" y="0"/>
                              </a:moveTo>
                              <a:lnTo>
                                <a:pt x="3048" y="0"/>
                              </a:lnTo>
                              <a:lnTo>
                                <a:pt x="3048" y="3048"/>
                              </a:lnTo>
                              <a:lnTo>
                                <a:pt x="3048" y="6096"/>
                              </a:lnTo>
                              <a:lnTo>
                                <a:pt x="5403088" y="6096"/>
                              </a:lnTo>
                              <a:lnTo>
                                <a:pt x="5403088" y="3048"/>
                              </a:lnTo>
                              <a:lnTo>
                                <a:pt x="5403088"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84.950005pt;margin-top:18.750216pt;width:425.45pt;height:.5pt;mso-position-horizontal-relative:page;mso-position-vertical-relative:paragraph;z-index:-15727104;mso-wrap-distance-left:0;mso-wrap-distance-right:0" id="docshape5" coordorigin="1699,375" coordsize="8509,10" path="m1704,380l1699,380,1699,385,1704,385,1704,380xm1704,375l1699,375,1699,380,1704,380,1704,375xm10208,375l1704,375,1704,380,1704,385,10208,385,10208,380,10208,375xe" filled="true" fillcolor="#9f9f9f" stroked="false">
                <v:path arrowok="t"/>
                <v:fill type="solid"/>
                <w10:wrap type="topAndBottom"/>
              </v:shape>
            </w:pict>
          </mc:Fallback>
        </mc:AlternateContent>
      </w:r>
    </w:p>
    <w:p>
      <w:pPr>
        <w:pStyle w:val="Heading1"/>
        <w:numPr>
          <w:ilvl w:val="0"/>
          <w:numId w:val="1"/>
        </w:numPr>
        <w:tabs>
          <w:tab w:pos="778" w:val="left" w:leader="none"/>
        </w:tabs>
        <w:spacing w:line="240" w:lineRule="auto" w:before="227" w:after="0"/>
        <w:ind w:left="778" w:right="0" w:hanging="212"/>
        <w:jc w:val="left"/>
      </w:pPr>
      <w:r>
        <w:rPr>
          <w:spacing w:val="-2"/>
        </w:rPr>
        <w:t>Reincidência</w:t>
      </w:r>
      <w:r>
        <w:rPr/>
        <w:t> </w:t>
      </w:r>
      <w:r>
        <w:rPr>
          <w:spacing w:val="-2"/>
        </w:rPr>
        <w:t>e</w:t>
      </w:r>
      <w:r>
        <w:rPr>
          <w:spacing w:val="1"/>
        </w:rPr>
        <w:t> </w:t>
      </w:r>
      <w:r>
        <w:rPr>
          <w:spacing w:val="-2"/>
        </w:rPr>
        <w:t>agravamento</w:t>
      </w:r>
    </w:p>
    <w:p>
      <w:pPr>
        <w:pStyle w:val="ListParagraph"/>
        <w:numPr>
          <w:ilvl w:val="1"/>
          <w:numId w:val="1"/>
        </w:numPr>
        <w:tabs>
          <w:tab w:pos="948" w:val="left" w:leader="none"/>
        </w:tabs>
        <w:spacing w:line="259" w:lineRule="auto" w:before="177" w:after="0"/>
        <w:ind w:left="566" w:right="1125" w:firstLine="0"/>
        <w:jc w:val="both"/>
        <w:rPr>
          <w:sz w:val="22"/>
        </w:rPr>
      </w:pPr>
      <w:r>
        <w:rPr>
          <w:sz w:val="22"/>
        </w:rPr>
        <w:t>A reincidência de falhas, ainda que individualmente consideradas de menor gravidade, poderá ensejar agravamento da glosa, aplicação de sanções administrativas, instauração de procedimento de apuração de responsabilidade ou adoção de outras medidas previstas no edital, no contrato e na legislação aplicável.</w:t>
      </w:r>
    </w:p>
    <w:p>
      <w:pPr>
        <w:pStyle w:val="ListParagraph"/>
        <w:numPr>
          <w:ilvl w:val="1"/>
          <w:numId w:val="1"/>
        </w:numPr>
        <w:tabs>
          <w:tab w:pos="948" w:val="left" w:leader="none"/>
        </w:tabs>
        <w:spacing w:line="259" w:lineRule="auto" w:before="163" w:after="0"/>
        <w:ind w:left="566" w:right="1137" w:firstLine="0"/>
        <w:jc w:val="both"/>
        <w:rPr>
          <w:sz w:val="22"/>
        </w:rPr>
      </w:pPr>
      <w:r>
        <w:rPr>
          <w:sz w:val="22"/>
        </w:rPr>
        <w:t>Considera-se reincidência, para fins deste IMR, a repetição de falha da mesma natureza dentro do mesmo período de medição ou em períodos sucessivos, especialmente quando já houver notificação anterior da contratada.</w:t>
      </w:r>
    </w:p>
    <w:p>
      <w:pPr>
        <w:pStyle w:val="BodyText"/>
        <w:spacing w:before="104"/>
        <w:ind w:left="0"/>
        <w:rPr>
          <w:sz w:val="20"/>
        </w:rPr>
      </w:pPr>
      <w:r>
        <w:rPr>
          <w:sz w:val="20"/>
        </w:rPr>
        <mc:AlternateContent>
          <mc:Choice Requires="wps">
            <w:drawing>
              <wp:anchor distT="0" distB="0" distL="0" distR="0" allowOverlap="1" layoutInCell="1" locked="0" behindDoc="1" simplePos="0" relativeHeight="487589888">
                <wp:simplePos x="0" y="0"/>
                <wp:positionH relativeFrom="page">
                  <wp:posOffset>1078865</wp:posOffset>
                </wp:positionH>
                <wp:positionV relativeFrom="paragraph">
                  <wp:posOffset>236583</wp:posOffset>
                </wp:positionV>
                <wp:extent cx="5403215" cy="6350"/>
                <wp:effectExtent l="0" t="0" r="0" b="0"/>
                <wp:wrapTopAndBottom/>
                <wp:docPr id="7" name="Graphic 7"/>
                <wp:cNvGraphicFramePr>
                  <a:graphicFrameLocks/>
                </wp:cNvGraphicFramePr>
                <a:graphic>
                  <a:graphicData uri="http://schemas.microsoft.com/office/word/2010/wordprocessingShape">
                    <wps:wsp>
                      <wps:cNvPr id="7" name="Graphic 7"/>
                      <wps:cNvSpPr/>
                      <wps:spPr>
                        <a:xfrm>
                          <a:off x="0" y="0"/>
                          <a:ext cx="5403215" cy="6350"/>
                        </a:xfrm>
                        <a:custGeom>
                          <a:avLst/>
                          <a:gdLst/>
                          <a:ahLst/>
                          <a:cxnLst/>
                          <a:rect l="l" t="t" r="r" b="b"/>
                          <a:pathLst>
                            <a:path w="5403215" h="6350">
                              <a:moveTo>
                                <a:pt x="3022" y="3060"/>
                              </a:moveTo>
                              <a:lnTo>
                                <a:pt x="0" y="3060"/>
                              </a:lnTo>
                              <a:lnTo>
                                <a:pt x="0" y="6096"/>
                              </a:lnTo>
                              <a:lnTo>
                                <a:pt x="3022" y="6096"/>
                              </a:lnTo>
                              <a:lnTo>
                                <a:pt x="3022" y="3060"/>
                              </a:lnTo>
                              <a:close/>
                            </a:path>
                            <a:path w="5403215" h="6350">
                              <a:moveTo>
                                <a:pt x="3022" y="25"/>
                              </a:moveTo>
                              <a:lnTo>
                                <a:pt x="0" y="25"/>
                              </a:lnTo>
                              <a:lnTo>
                                <a:pt x="0" y="3048"/>
                              </a:lnTo>
                              <a:lnTo>
                                <a:pt x="3022" y="3048"/>
                              </a:lnTo>
                              <a:lnTo>
                                <a:pt x="3022" y="25"/>
                              </a:lnTo>
                              <a:close/>
                            </a:path>
                            <a:path w="5403215" h="6350">
                              <a:moveTo>
                                <a:pt x="5403088" y="0"/>
                              </a:moveTo>
                              <a:lnTo>
                                <a:pt x="3048" y="0"/>
                              </a:lnTo>
                              <a:lnTo>
                                <a:pt x="3048" y="3048"/>
                              </a:lnTo>
                              <a:lnTo>
                                <a:pt x="3048" y="6096"/>
                              </a:lnTo>
                              <a:lnTo>
                                <a:pt x="5403088" y="6096"/>
                              </a:lnTo>
                              <a:lnTo>
                                <a:pt x="5403088" y="3048"/>
                              </a:lnTo>
                              <a:lnTo>
                                <a:pt x="5403088"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84.950005pt;margin-top:18.628584pt;width:425.45pt;height:.5pt;mso-position-horizontal-relative:page;mso-position-vertical-relative:paragraph;z-index:-15726592;mso-wrap-distance-left:0;mso-wrap-distance-right:0" id="docshape6" coordorigin="1699,373" coordsize="8509,10" path="m1704,377l1699,377,1699,382,1704,382,1704,377xm1704,373l1699,373,1699,377,1704,377,1704,373xm10208,373l1704,373,1704,377,1704,382,10208,382,10208,377,10208,373xe" filled="true" fillcolor="#9f9f9f" stroked="false">
                <v:path arrowok="t"/>
                <v:fill type="solid"/>
                <w10:wrap type="topAndBottom"/>
              </v:shape>
            </w:pict>
          </mc:Fallback>
        </mc:AlternateContent>
      </w:r>
    </w:p>
    <w:p>
      <w:pPr>
        <w:pStyle w:val="Heading1"/>
        <w:numPr>
          <w:ilvl w:val="0"/>
          <w:numId w:val="1"/>
        </w:numPr>
        <w:tabs>
          <w:tab w:pos="778" w:val="left" w:leader="none"/>
        </w:tabs>
        <w:spacing w:line="240" w:lineRule="auto" w:before="222" w:after="0"/>
        <w:ind w:left="778" w:right="0" w:hanging="212"/>
        <w:jc w:val="left"/>
      </w:pPr>
      <w:r>
        <w:rPr>
          <w:spacing w:val="-2"/>
        </w:rPr>
        <w:t>Disposições</w:t>
      </w:r>
      <w:r>
        <w:rPr>
          <w:spacing w:val="7"/>
        </w:rPr>
        <w:t> </w:t>
      </w:r>
      <w:r>
        <w:rPr>
          <w:spacing w:val="-2"/>
        </w:rPr>
        <w:t>finais</w:t>
      </w:r>
    </w:p>
    <w:p>
      <w:pPr>
        <w:pStyle w:val="ListParagraph"/>
        <w:numPr>
          <w:ilvl w:val="1"/>
          <w:numId w:val="1"/>
        </w:numPr>
        <w:tabs>
          <w:tab w:pos="948" w:val="left" w:leader="none"/>
        </w:tabs>
        <w:spacing w:line="259" w:lineRule="auto" w:before="185" w:after="0"/>
        <w:ind w:left="566" w:right="1129" w:firstLine="0"/>
        <w:jc w:val="both"/>
        <w:rPr>
          <w:sz w:val="22"/>
        </w:rPr>
      </w:pPr>
      <w:r>
        <w:rPr>
          <w:sz w:val="22"/>
        </w:rPr>
        <w:t>A aplicação do IMR não afasta a obrigação da contratada de corrigir a falha, substituir o veículo,</w:t>
      </w:r>
      <w:r>
        <w:rPr>
          <w:spacing w:val="-4"/>
          <w:sz w:val="22"/>
        </w:rPr>
        <w:t> </w:t>
      </w:r>
      <w:r>
        <w:rPr>
          <w:sz w:val="22"/>
        </w:rPr>
        <w:t>regularizar</w:t>
      </w:r>
      <w:r>
        <w:rPr>
          <w:spacing w:val="-1"/>
          <w:sz w:val="22"/>
        </w:rPr>
        <w:t> </w:t>
      </w:r>
      <w:r>
        <w:rPr>
          <w:sz w:val="22"/>
        </w:rPr>
        <w:t>a</w:t>
      </w:r>
      <w:r>
        <w:rPr>
          <w:spacing w:val="-2"/>
          <w:sz w:val="22"/>
        </w:rPr>
        <w:t> </w:t>
      </w:r>
      <w:r>
        <w:rPr>
          <w:sz w:val="22"/>
        </w:rPr>
        <w:t>pendência,</w:t>
      </w:r>
      <w:r>
        <w:rPr>
          <w:spacing w:val="-5"/>
          <w:sz w:val="22"/>
        </w:rPr>
        <w:t> </w:t>
      </w:r>
      <w:r>
        <w:rPr>
          <w:sz w:val="22"/>
        </w:rPr>
        <w:t>reparar</w:t>
      </w:r>
      <w:r>
        <w:rPr>
          <w:spacing w:val="-2"/>
          <w:sz w:val="22"/>
        </w:rPr>
        <w:t> </w:t>
      </w:r>
      <w:r>
        <w:rPr>
          <w:sz w:val="22"/>
        </w:rPr>
        <w:t>danos, ressarcir</w:t>
      </w:r>
      <w:r>
        <w:rPr>
          <w:spacing w:val="-2"/>
          <w:sz w:val="22"/>
        </w:rPr>
        <w:t> </w:t>
      </w:r>
      <w:r>
        <w:rPr>
          <w:sz w:val="22"/>
        </w:rPr>
        <w:t>prejuízos</w:t>
      </w:r>
      <w:r>
        <w:rPr>
          <w:spacing w:val="-4"/>
          <w:sz w:val="22"/>
        </w:rPr>
        <w:t> </w:t>
      </w:r>
      <w:r>
        <w:rPr>
          <w:sz w:val="22"/>
        </w:rPr>
        <w:t>ou</w:t>
      </w:r>
      <w:r>
        <w:rPr>
          <w:spacing w:val="-4"/>
          <w:sz w:val="22"/>
        </w:rPr>
        <w:t> </w:t>
      </w:r>
      <w:r>
        <w:rPr>
          <w:sz w:val="22"/>
        </w:rPr>
        <w:t>cumprir</w:t>
      </w:r>
      <w:r>
        <w:rPr>
          <w:spacing w:val="-3"/>
          <w:sz w:val="22"/>
        </w:rPr>
        <w:t> </w:t>
      </w:r>
      <w:r>
        <w:rPr>
          <w:sz w:val="22"/>
        </w:rPr>
        <w:t>integralmente</w:t>
      </w:r>
      <w:r>
        <w:rPr>
          <w:spacing w:val="-1"/>
          <w:sz w:val="22"/>
        </w:rPr>
        <w:t> </w:t>
      </w:r>
      <w:r>
        <w:rPr>
          <w:sz w:val="22"/>
        </w:rPr>
        <w:t>as demais obrigações contratuais.</w:t>
      </w:r>
    </w:p>
    <w:p>
      <w:pPr>
        <w:pStyle w:val="ListParagraph"/>
        <w:numPr>
          <w:ilvl w:val="1"/>
          <w:numId w:val="1"/>
        </w:numPr>
        <w:tabs>
          <w:tab w:pos="948" w:val="left" w:leader="none"/>
        </w:tabs>
        <w:spacing w:line="259" w:lineRule="auto" w:before="157" w:after="0"/>
        <w:ind w:left="566" w:right="1127" w:firstLine="0"/>
        <w:jc w:val="both"/>
        <w:rPr>
          <w:sz w:val="22"/>
        </w:rPr>
      </w:pPr>
      <w:r>
        <w:rPr>
          <w:sz w:val="22"/>
        </w:rPr>
        <w:t>A</w:t>
      </w:r>
      <w:r>
        <w:rPr>
          <w:spacing w:val="-13"/>
          <w:sz w:val="22"/>
        </w:rPr>
        <w:t> </w:t>
      </w:r>
      <w:r>
        <w:rPr>
          <w:sz w:val="22"/>
        </w:rPr>
        <w:t>aplicação</w:t>
      </w:r>
      <w:r>
        <w:rPr>
          <w:spacing w:val="-12"/>
          <w:sz w:val="22"/>
        </w:rPr>
        <w:t> </w:t>
      </w:r>
      <w:r>
        <w:rPr>
          <w:sz w:val="22"/>
        </w:rPr>
        <w:t>de</w:t>
      </w:r>
      <w:r>
        <w:rPr>
          <w:spacing w:val="-13"/>
          <w:sz w:val="22"/>
        </w:rPr>
        <w:t> </w:t>
      </w:r>
      <w:r>
        <w:rPr>
          <w:sz w:val="22"/>
        </w:rPr>
        <w:t>glosa</w:t>
      </w:r>
      <w:r>
        <w:rPr>
          <w:spacing w:val="-10"/>
          <w:sz w:val="22"/>
        </w:rPr>
        <w:t> </w:t>
      </w:r>
      <w:r>
        <w:rPr>
          <w:sz w:val="22"/>
        </w:rPr>
        <w:t>com</w:t>
      </w:r>
      <w:r>
        <w:rPr>
          <w:spacing w:val="-10"/>
          <w:sz w:val="22"/>
        </w:rPr>
        <w:t> </w:t>
      </w:r>
      <w:r>
        <w:rPr>
          <w:sz w:val="22"/>
        </w:rPr>
        <w:t>base</w:t>
      </w:r>
      <w:r>
        <w:rPr>
          <w:spacing w:val="-11"/>
          <w:sz w:val="22"/>
        </w:rPr>
        <w:t> </w:t>
      </w:r>
      <w:r>
        <w:rPr>
          <w:sz w:val="22"/>
        </w:rPr>
        <w:t>neste</w:t>
      </w:r>
      <w:r>
        <w:rPr>
          <w:spacing w:val="-11"/>
          <w:sz w:val="22"/>
        </w:rPr>
        <w:t> </w:t>
      </w:r>
      <w:r>
        <w:rPr>
          <w:sz w:val="22"/>
        </w:rPr>
        <w:t>IMR</w:t>
      </w:r>
      <w:r>
        <w:rPr>
          <w:spacing w:val="-11"/>
          <w:sz w:val="22"/>
        </w:rPr>
        <w:t> </w:t>
      </w:r>
      <w:r>
        <w:rPr>
          <w:sz w:val="22"/>
        </w:rPr>
        <w:t>não</w:t>
      </w:r>
      <w:r>
        <w:rPr>
          <w:spacing w:val="-10"/>
          <w:sz w:val="22"/>
        </w:rPr>
        <w:t> </w:t>
      </w:r>
      <w:r>
        <w:rPr>
          <w:sz w:val="22"/>
        </w:rPr>
        <w:t>impede</w:t>
      </w:r>
      <w:r>
        <w:rPr>
          <w:spacing w:val="-11"/>
          <w:sz w:val="22"/>
        </w:rPr>
        <w:t> </w:t>
      </w:r>
      <w:r>
        <w:rPr>
          <w:sz w:val="22"/>
        </w:rPr>
        <w:t>a</w:t>
      </w:r>
      <w:r>
        <w:rPr>
          <w:spacing w:val="-13"/>
          <w:sz w:val="22"/>
        </w:rPr>
        <w:t> </w:t>
      </w:r>
      <w:r>
        <w:rPr>
          <w:sz w:val="22"/>
        </w:rPr>
        <w:t>aplicação</w:t>
      </w:r>
      <w:r>
        <w:rPr>
          <w:spacing w:val="-12"/>
          <w:sz w:val="22"/>
        </w:rPr>
        <w:t> </w:t>
      </w:r>
      <w:r>
        <w:rPr>
          <w:sz w:val="22"/>
        </w:rPr>
        <w:t>de</w:t>
      </w:r>
      <w:r>
        <w:rPr>
          <w:spacing w:val="-10"/>
          <w:sz w:val="22"/>
        </w:rPr>
        <w:t> </w:t>
      </w:r>
      <w:r>
        <w:rPr>
          <w:sz w:val="22"/>
        </w:rPr>
        <w:t>sanções</w:t>
      </w:r>
      <w:r>
        <w:rPr>
          <w:spacing w:val="-13"/>
          <w:sz w:val="22"/>
        </w:rPr>
        <w:t> </w:t>
      </w:r>
      <w:r>
        <w:rPr>
          <w:sz w:val="22"/>
        </w:rPr>
        <w:t>administrativas quando caracterizado descumprimento contratual, assegurados o contraditório e a ampla </w:t>
      </w:r>
      <w:r>
        <w:rPr>
          <w:spacing w:val="-2"/>
          <w:sz w:val="22"/>
        </w:rPr>
        <w:t>defesa.</w:t>
      </w:r>
    </w:p>
    <w:p>
      <w:pPr>
        <w:pStyle w:val="ListParagraph"/>
        <w:numPr>
          <w:ilvl w:val="1"/>
          <w:numId w:val="1"/>
        </w:numPr>
        <w:tabs>
          <w:tab w:pos="952" w:val="left" w:leader="none"/>
        </w:tabs>
        <w:spacing w:line="259" w:lineRule="auto" w:before="162" w:after="0"/>
        <w:ind w:left="566" w:right="1122" w:firstLine="0"/>
        <w:jc w:val="both"/>
        <w:rPr>
          <w:sz w:val="22"/>
        </w:rPr>
      </w:pPr>
      <w:r>
        <w:rPr>
          <w:sz w:val="22"/>
        </w:rPr>
        <w:t>Os casos omissos ou situações não previstas neste IMR serão avaliados pela fiscalização contratual,</w:t>
      </w:r>
      <w:r>
        <w:rPr>
          <w:spacing w:val="-13"/>
          <w:sz w:val="22"/>
        </w:rPr>
        <w:t> </w:t>
      </w:r>
      <w:r>
        <w:rPr>
          <w:sz w:val="22"/>
        </w:rPr>
        <w:t>observados</w:t>
      </w:r>
      <w:r>
        <w:rPr>
          <w:spacing w:val="-12"/>
          <w:sz w:val="22"/>
        </w:rPr>
        <w:t> </w:t>
      </w:r>
      <w:r>
        <w:rPr>
          <w:sz w:val="22"/>
        </w:rPr>
        <w:t>o</w:t>
      </w:r>
      <w:r>
        <w:rPr>
          <w:spacing w:val="-13"/>
          <w:sz w:val="22"/>
        </w:rPr>
        <w:t> </w:t>
      </w:r>
      <w:r>
        <w:rPr>
          <w:sz w:val="22"/>
        </w:rPr>
        <w:t>Termo</w:t>
      </w:r>
      <w:r>
        <w:rPr>
          <w:spacing w:val="-12"/>
          <w:sz w:val="22"/>
        </w:rPr>
        <w:t> </w:t>
      </w:r>
      <w:r>
        <w:rPr>
          <w:sz w:val="22"/>
        </w:rPr>
        <w:t>de</w:t>
      </w:r>
      <w:r>
        <w:rPr>
          <w:spacing w:val="-13"/>
          <w:sz w:val="22"/>
        </w:rPr>
        <w:t> </w:t>
      </w:r>
      <w:r>
        <w:rPr>
          <w:sz w:val="22"/>
        </w:rPr>
        <w:t>Referência,</w:t>
      </w:r>
      <w:r>
        <w:rPr>
          <w:spacing w:val="-12"/>
          <w:sz w:val="22"/>
        </w:rPr>
        <w:t> </w:t>
      </w:r>
      <w:r>
        <w:rPr>
          <w:sz w:val="22"/>
        </w:rPr>
        <w:t>o</w:t>
      </w:r>
      <w:r>
        <w:rPr>
          <w:spacing w:val="-13"/>
          <w:sz w:val="22"/>
        </w:rPr>
        <w:t> </w:t>
      </w:r>
      <w:r>
        <w:rPr>
          <w:sz w:val="22"/>
        </w:rPr>
        <w:t>contrato,</w:t>
      </w:r>
      <w:r>
        <w:rPr>
          <w:spacing w:val="-12"/>
          <w:sz w:val="22"/>
        </w:rPr>
        <w:t> </w:t>
      </w:r>
      <w:r>
        <w:rPr>
          <w:sz w:val="22"/>
        </w:rPr>
        <w:t>a</w:t>
      </w:r>
      <w:r>
        <w:rPr>
          <w:spacing w:val="-12"/>
          <w:sz w:val="22"/>
        </w:rPr>
        <w:t> </w:t>
      </w:r>
      <w:r>
        <w:rPr>
          <w:sz w:val="22"/>
        </w:rPr>
        <w:t>legislação</w:t>
      </w:r>
      <w:r>
        <w:rPr>
          <w:spacing w:val="-13"/>
          <w:sz w:val="22"/>
        </w:rPr>
        <w:t> </w:t>
      </w:r>
      <w:r>
        <w:rPr>
          <w:sz w:val="22"/>
        </w:rPr>
        <w:t>aplicável,</w:t>
      </w:r>
      <w:r>
        <w:rPr>
          <w:spacing w:val="-12"/>
          <w:sz w:val="22"/>
        </w:rPr>
        <w:t> </w:t>
      </w:r>
      <w:r>
        <w:rPr>
          <w:sz w:val="22"/>
        </w:rPr>
        <w:t>a</w:t>
      </w:r>
      <w:r>
        <w:rPr>
          <w:spacing w:val="-13"/>
          <w:sz w:val="22"/>
        </w:rPr>
        <w:t> </w:t>
      </w:r>
      <w:r>
        <w:rPr>
          <w:sz w:val="22"/>
        </w:rPr>
        <w:t>razoabilidade, a proporcionalidade, a finalidade pública e o interesse da Administração.</w:t>
      </w:r>
    </w:p>
    <w:sectPr>
      <w:pgSz w:w="11920" w:h="16850"/>
      <w:pgMar w:top="900" w:bottom="280" w:left="1133" w:right="566"/>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3">
    <w:multiLevelType w:val="hybridMultilevel"/>
    <w:lvl w:ilvl="0">
      <w:start w:val="1"/>
      <w:numFmt w:val="lowerLetter"/>
      <w:lvlText w:val="%1)"/>
      <w:lvlJc w:val="left"/>
      <w:pPr>
        <w:ind w:left="792" w:hanging="226"/>
        <w:jc w:val="left"/>
      </w:pPr>
      <w:rPr>
        <w:rFonts w:hint="default" w:ascii="Calibri" w:hAnsi="Calibri" w:eastAsia="Calibri" w:cs="Calibri"/>
        <w:b/>
        <w:bCs/>
        <w:i w:val="0"/>
        <w:iCs w:val="0"/>
        <w:spacing w:val="-1"/>
        <w:w w:val="100"/>
        <w:sz w:val="22"/>
        <w:szCs w:val="22"/>
        <w:lang w:val="pt-PT" w:eastAsia="en-US" w:bidi="ar-SA"/>
      </w:rPr>
    </w:lvl>
    <w:lvl w:ilvl="1">
      <w:start w:val="0"/>
      <w:numFmt w:val="bullet"/>
      <w:lvlText w:val="•"/>
      <w:lvlJc w:val="left"/>
      <w:pPr>
        <w:ind w:left="1741" w:hanging="226"/>
      </w:pPr>
      <w:rPr>
        <w:rFonts w:hint="default"/>
        <w:lang w:val="pt-PT" w:eastAsia="en-US" w:bidi="ar-SA"/>
      </w:rPr>
    </w:lvl>
    <w:lvl w:ilvl="2">
      <w:start w:val="0"/>
      <w:numFmt w:val="bullet"/>
      <w:lvlText w:val="•"/>
      <w:lvlJc w:val="left"/>
      <w:pPr>
        <w:ind w:left="2682" w:hanging="226"/>
      </w:pPr>
      <w:rPr>
        <w:rFonts w:hint="default"/>
        <w:lang w:val="pt-PT" w:eastAsia="en-US" w:bidi="ar-SA"/>
      </w:rPr>
    </w:lvl>
    <w:lvl w:ilvl="3">
      <w:start w:val="0"/>
      <w:numFmt w:val="bullet"/>
      <w:lvlText w:val="•"/>
      <w:lvlJc w:val="left"/>
      <w:pPr>
        <w:ind w:left="3623" w:hanging="226"/>
      </w:pPr>
      <w:rPr>
        <w:rFonts w:hint="default"/>
        <w:lang w:val="pt-PT" w:eastAsia="en-US" w:bidi="ar-SA"/>
      </w:rPr>
    </w:lvl>
    <w:lvl w:ilvl="4">
      <w:start w:val="0"/>
      <w:numFmt w:val="bullet"/>
      <w:lvlText w:val="•"/>
      <w:lvlJc w:val="left"/>
      <w:pPr>
        <w:ind w:left="4564" w:hanging="226"/>
      </w:pPr>
      <w:rPr>
        <w:rFonts w:hint="default"/>
        <w:lang w:val="pt-PT" w:eastAsia="en-US" w:bidi="ar-SA"/>
      </w:rPr>
    </w:lvl>
    <w:lvl w:ilvl="5">
      <w:start w:val="0"/>
      <w:numFmt w:val="bullet"/>
      <w:lvlText w:val="•"/>
      <w:lvlJc w:val="left"/>
      <w:pPr>
        <w:ind w:left="5506" w:hanging="226"/>
      </w:pPr>
      <w:rPr>
        <w:rFonts w:hint="default"/>
        <w:lang w:val="pt-PT" w:eastAsia="en-US" w:bidi="ar-SA"/>
      </w:rPr>
    </w:lvl>
    <w:lvl w:ilvl="6">
      <w:start w:val="0"/>
      <w:numFmt w:val="bullet"/>
      <w:lvlText w:val="•"/>
      <w:lvlJc w:val="left"/>
      <w:pPr>
        <w:ind w:left="6447" w:hanging="226"/>
      </w:pPr>
      <w:rPr>
        <w:rFonts w:hint="default"/>
        <w:lang w:val="pt-PT" w:eastAsia="en-US" w:bidi="ar-SA"/>
      </w:rPr>
    </w:lvl>
    <w:lvl w:ilvl="7">
      <w:start w:val="0"/>
      <w:numFmt w:val="bullet"/>
      <w:lvlText w:val="•"/>
      <w:lvlJc w:val="left"/>
      <w:pPr>
        <w:ind w:left="7388" w:hanging="226"/>
      </w:pPr>
      <w:rPr>
        <w:rFonts w:hint="default"/>
        <w:lang w:val="pt-PT" w:eastAsia="en-US" w:bidi="ar-SA"/>
      </w:rPr>
    </w:lvl>
    <w:lvl w:ilvl="8">
      <w:start w:val="0"/>
      <w:numFmt w:val="bullet"/>
      <w:lvlText w:val="•"/>
      <w:lvlJc w:val="left"/>
      <w:pPr>
        <w:ind w:left="8329" w:hanging="226"/>
      </w:pPr>
      <w:rPr>
        <w:rFonts w:hint="default"/>
        <w:lang w:val="pt-PT" w:eastAsia="en-US" w:bidi="ar-SA"/>
      </w:rPr>
    </w:lvl>
  </w:abstractNum>
  <w:abstractNum w:abstractNumId="2">
    <w:multiLevelType w:val="hybridMultilevel"/>
    <w:lvl w:ilvl="0">
      <w:start w:val="1"/>
      <w:numFmt w:val="lowerLetter"/>
      <w:lvlText w:val="%1)"/>
      <w:lvlJc w:val="left"/>
      <w:pPr>
        <w:ind w:left="643" w:hanging="228"/>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1">
      <w:start w:val="0"/>
      <w:numFmt w:val="bullet"/>
      <w:lvlText w:val="•"/>
      <w:lvlJc w:val="left"/>
      <w:pPr>
        <w:ind w:left="1597" w:hanging="228"/>
      </w:pPr>
      <w:rPr>
        <w:rFonts w:hint="default"/>
        <w:lang w:val="pt-PT" w:eastAsia="en-US" w:bidi="ar-SA"/>
      </w:rPr>
    </w:lvl>
    <w:lvl w:ilvl="2">
      <w:start w:val="0"/>
      <w:numFmt w:val="bullet"/>
      <w:lvlText w:val="•"/>
      <w:lvlJc w:val="left"/>
      <w:pPr>
        <w:ind w:left="2554" w:hanging="228"/>
      </w:pPr>
      <w:rPr>
        <w:rFonts w:hint="default"/>
        <w:lang w:val="pt-PT" w:eastAsia="en-US" w:bidi="ar-SA"/>
      </w:rPr>
    </w:lvl>
    <w:lvl w:ilvl="3">
      <w:start w:val="0"/>
      <w:numFmt w:val="bullet"/>
      <w:lvlText w:val="•"/>
      <w:lvlJc w:val="left"/>
      <w:pPr>
        <w:ind w:left="3511" w:hanging="228"/>
      </w:pPr>
      <w:rPr>
        <w:rFonts w:hint="default"/>
        <w:lang w:val="pt-PT" w:eastAsia="en-US" w:bidi="ar-SA"/>
      </w:rPr>
    </w:lvl>
    <w:lvl w:ilvl="4">
      <w:start w:val="0"/>
      <w:numFmt w:val="bullet"/>
      <w:lvlText w:val="•"/>
      <w:lvlJc w:val="left"/>
      <w:pPr>
        <w:ind w:left="4468" w:hanging="228"/>
      </w:pPr>
      <w:rPr>
        <w:rFonts w:hint="default"/>
        <w:lang w:val="pt-PT" w:eastAsia="en-US" w:bidi="ar-SA"/>
      </w:rPr>
    </w:lvl>
    <w:lvl w:ilvl="5">
      <w:start w:val="0"/>
      <w:numFmt w:val="bullet"/>
      <w:lvlText w:val="•"/>
      <w:lvlJc w:val="left"/>
      <w:pPr>
        <w:ind w:left="5426" w:hanging="228"/>
      </w:pPr>
      <w:rPr>
        <w:rFonts w:hint="default"/>
        <w:lang w:val="pt-PT" w:eastAsia="en-US" w:bidi="ar-SA"/>
      </w:rPr>
    </w:lvl>
    <w:lvl w:ilvl="6">
      <w:start w:val="0"/>
      <w:numFmt w:val="bullet"/>
      <w:lvlText w:val="•"/>
      <w:lvlJc w:val="left"/>
      <w:pPr>
        <w:ind w:left="6383" w:hanging="228"/>
      </w:pPr>
      <w:rPr>
        <w:rFonts w:hint="default"/>
        <w:lang w:val="pt-PT" w:eastAsia="en-US" w:bidi="ar-SA"/>
      </w:rPr>
    </w:lvl>
    <w:lvl w:ilvl="7">
      <w:start w:val="0"/>
      <w:numFmt w:val="bullet"/>
      <w:lvlText w:val="•"/>
      <w:lvlJc w:val="left"/>
      <w:pPr>
        <w:ind w:left="7340" w:hanging="228"/>
      </w:pPr>
      <w:rPr>
        <w:rFonts w:hint="default"/>
        <w:lang w:val="pt-PT" w:eastAsia="en-US" w:bidi="ar-SA"/>
      </w:rPr>
    </w:lvl>
    <w:lvl w:ilvl="8">
      <w:start w:val="0"/>
      <w:numFmt w:val="bullet"/>
      <w:lvlText w:val="•"/>
      <w:lvlJc w:val="left"/>
      <w:pPr>
        <w:ind w:left="8297" w:hanging="228"/>
      </w:pPr>
      <w:rPr>
        <w:rFonts w:hint="default"/>
        <w:lang w:val="pt-PT" w:eastAsia="en-US" w:bidi="ar-SA"/>
      </w:rPr>
    </w:lvl>
  </w:abstractNum>
  <w:abstractNum w:abstractNumId="1">
    <w:multiLevelType w:val="hybridMultilevel"/>
    <w:lvl w:ilvl="0">
      <w:start w:val="1"/>
      <w:numFmt w:val="lowerLetter"/>
      <w:lvlText w:val="%1)"/>
      <w:lvlJc w:val="left"/>
      <w:pPr>
        <w:ind w:left="792" w:hanging="226"/>
        <w:jc w:val="left"/>
      </w:pPr>
      <w:rPr>
        <w:rFonts w:hint="default" w:ascii="Calibri" w:hAnsi="Calibri" w:eastAsia="Calibri" w:cs="Calibri"/>
        <w:b/>
        <w:bCs/>
        <w:i w:val="0"/>
        <w:iCs w:val="0"/>
        <w:spacing w:val="-1"/>
        <w:w w:val="100"/>
        <w:sz w:val="22"/>
        <w:szCs w:val="22"/>
        <w:lang w:val="pt-PT" w:eastAsia="en-US" w:bidi="ar-SA"/>
      </w:rPr>
    </w:lvl>
    <w:lvl w:ilvl="1">
      <w:start w:val="0"/>
      <w:numFmt w:val="bullet"/>
      <w:lvlText w:val="•"/>
      <w:lvlJc w:val="left"/>
      <w:pPr>
        <w:ind w:left="1741" w:hanging="226"/>
      </w:pPr>
      <w:rPr>
        <w:rFonts w:hint="default"/>
        <w:lang w:val="pt-PT" w:eastAsia="en-US" w:bidi="ar-SA"/>
      </w:rPr>
    </w:lvl>
    <w:lvl w:ilvl="2">
      <w:start w:val="0"/>
      <w:numFmt w:val="bullet"/>
      <w:lvlText w:val="•"/>
      <w:lvlJc w:val="left"/>
      <w:pPr>
        <w:ind w:left="2682" w:hanging="226"/>
      </w:pPr>
      <w:rPr>
        <w:rFonts w:hint="default"/>
        <w:lang w:val="pt-PT" w:eastAsia="en-US" w:bidi="ar-SA"/>
      </w:rPr>
    </w:lvl>
    <w:lvl w:ilvl="3">
      <w:start w:val="0"/>
      <w:numFmt w:val="bullet"/>
      <w:lvlText w:val="•"/>
      <w:lvlJc w:val="left"/>
      <w:pPr>
        <w:ind w:left="3623" w:hanging="226"/>
      </w:pPr>
      <w:rPr>
        <w:rFonts w:hint="default"/>
        <w:lang w:val="pt-PT" w:eastAsia="en-US" w:bidi="ar-SA"/>
      </w:rPr>
    </w:lvl>
    <w:lvl w:ilvl="4">
      <w:start w:val="0"/>
      <w:numFmt w:val="bullet"/>
      <w:lvlText w:val="•"/>
      <w:lvlJc w:val="left"/>
      <w:pPr>
        <w:ind w:left="4564" w:hanging="226"/>
      </w:pPr>
      <w:rPr>
        <w:rFonts w:hint="default"/>
        <w:lang w:val="pt-PT" w:eastAsia="en-US" w:bidi="ar-SA"/>
      </w:rPr>
    </w:lvl>
    <w:lvl w:ilvl="5">
      <w:start w:val="0"/>
      <w:numFmt w:val="bullet"/>
      <w:lvlText w:val="•"/>
      <w:lvlJc w:val="left"/>
      <w:pPr>
        <w:ind w:left="5506" w:hanging="226"/>
      </w:pPr>
      <w:rPr>
        <w:rFonts w:hint="default"/>
        <w:lang w:val="pt-PT" w:eastAsia="en-US" w:bidi="ar-SA"/>
      </w:rPr>
    </w:lvl>
    <w:lvl w:ilvl="6">
      <w:start w:val="0"/>
      <w:numFmt w:val="bullet"/>
      <w:lvlText w:val="•"/>
      <w:lvlJc w:val="left"/>
      <w:pPr>
        <w:ind w:left="6447" w:hanging="226"/>
      </w:pPr>
      <w:rPr>
        <w:rFonts w:hint="default"/>
        <w:lang w:val="pt-PT" w:eastAsia="en-US" w:bidi="ar-SA"/>
      </w:rPr>
    </w:lvl>
    <w:lvl w:ilvl="7">
      <w:start w:val="0"/>
      <w:numFmt w:val="bullet"/>
      <w:lvlText w:val="•"/>
      <w:lvlJc w:val="left"/>
      <w:pPr>
        <w:ind w:left="7388" w:hanging="226"/>
      </w:pPr>
      <w:rPr>
        <w:rFonts w:hint="default"/>
        <w:lang w:val="pt-PT" w:eastAsia="en-US" w:bidi="ar-SA"/>
      </w:rPr>
    </w:lvl>
    <w:lvl w:ilvl="8">
      <w:start w:val="0"/>
      <w:numFmt w:val="bullet"/>
      <w:lvlText w:val="•"/>
      <w:lvlJc w:val="left"/>
      <w:pPr>
        <w:ind w:left="8329" w:hanging="226"/>
      </w:pPr>
      <w:rPr>
        <w:rFonts w:hint="default"/>
        <w:lang w:val="pt-PT" w:eastAsia="en-US" w:bidi="ar-SA"/>
      </w:rPr>
    </w:lvl>
  </w:abstractNum>
  <w:abstractNum w:abstractNumId="0">
    <w:multiLevelType w:val="hybridMultilevel"/>
    <w:lvl w:ilvl="0">
      <w:start w:val="1"/>
      <w:numFmt w:val="decimal"/>
      <w:lvlText w:val="%1."/>
      <w:lvlJc w:val="left"/>
      <w:pPr>
        <w:ind w:left="780" w:hanging="214"/>
        <w:jc w:val="left"/>
      </w:pPr>
      <w:rPr>
        <w:rFonts w:hint="default" w:ascii="Calibri" w:hAnsi="Calibri" w:eastAsia="Calibri" w:cs="Calibri"/>
        <w:b/>
        <w:bCs/>
        <w:i w:val="0"/>
        <w:iCs w:val="0"/>
        <w:spacing w:val="-2"/>
        <w:w w:val="100"/>
        <w:sz w:val="22"/>
        <w:szCs w:val="22"/>
        <w:lang w:val="pt-PT" w:eastAsia="en-US" w:bidi="ar-SA"/>
      </w:rPr>
    </w:lvl>
    <w:lvl w:ilvl="1">
      <w:start w:val="1"/>
      <w:numFmt w:val="decimal"/>
      <w:lvlText w:val="%1.%2."/>
      <w:lvlJc w:val="left"/>
      <w:pPr>
        <w:ind w:left="566" w:hanging="389"/>
        <w:jc w:val="left"/>
      </w:pPr>
      <w:rPr>
        <w:rFonts w:hint="default" w:ascii="Calibri" w:hAnsi="Calibri" w:eastAsia="Calibri" w:cs="Calibri"/>
        <w:b/>
        <w:bCs/>
        <w:i w:val="0"/>
        <w:iCs w:val="0"/>
        <w:spacing w:val="-2"/>
        <w:w w:val="100"/>
        <w:sz w:val="22"/>
        <w:szCs w:val="22"/>
        <w:lang w:val="pt-PT" w:eastAsia="en-US" w:bidi="ar-SA"/>
      </w:rPr>
    </w:lvl>
    <w:lvl w:ilvl="2">
      <w:start w:val="1"/>
      <w:numFmt w:val="decimal"/>
      <w:lvlText w:val="%1.%2.%3."/>
      <w:lvlJc w:val="left"/>
      <w:pPr>
        <w:ind w:left="643" w:hanging="552"/>
        <w:jc w:val="left"/>
      </w:pPr>
      <w:rPr>
        <w:rFonts w:hint="default" w:ascii="Times New Roman" w:hAnsi="Times New Roman" w:eastAsia="Times New Roman" w:cs="Times New Roman"/>
        <w:b/>
        <w:bCs/>
        <w:i w:val="0"/>
        <w:iCs w:val="0"/>
        <w:spacing w:val="0"/>
        <w:w w:val="100"/>
        <w:sz w:val="22"/>
        <w:szCs w:val="22"/>
        <w:lang w:val="pt-PT" w:eastAsia="en-US" w:bidi="ar-SA"/>
      </w:rPr>
    </w:lvl>
    <w:lvl w:ilvl="3">
      <w:start w:val="0"/>
      <w:numFmt w:val="bullet"/>
      <w:lvlText w:val="•"/>
      <w:lvlJc w:val="left"/>
      <w:pPr>
        <w:ind w:left="1959" w:hanging="552"/>
      </w:pPr>
      <w:rPr>
        <w:rFonts w:hint="default"/>
        <w:lang w:val="pt-PT" w:eastAsia="en-US" w:bidi="ar-SA"/>
      </w:rPr>
    </w:lvl>
    <w:lvl w:ilvl="4">
      <w:start w:val="0"/>
      <w:numFmt w:val="bullet"/>
      <w:lvlText w:val="•"/>
      <w:lvlJc w:val="left"/>
      <w:pPr>
        <w:ind w:left="3138" w:hanging="552"/>
      </w:pPr>
      <w:rPr>
        <w:rFonts w:hint="default"/>
        <w:lang w:val="pt-PT" w:eastAsia="en-US" w:bidi="ar-SA"/>
      </w:rPr>
    </w:lvl>
    <w:lvl w:ilvl="5">
      <w:start w:val="0"/>
      <w:numFmt w:val="bullet"/>
      <w:lvlText w:val="•"/>
      <w:lvlJc w:val="left"/>
      <w:pPr>
        <w:ind w:left="4317" w:hanging="552"/>
      </w:pPr>
      <w:rPr>
        <w:rFonts w:hint="default"/>
        <w:lang w:val="pt-PT" w:eastAsia="en-US" w:bidi="ar-SA"/>
      </w:rPr>
    </w:lvl>
    <w:lvl w:ilvl="6">
      <w:start w:val="0"/>
      <w:numFmt w:val="bullet"/>
      <w:lvlText w:val="•"/>
      <w:lvlJc w:val="left"/>
      <w:pPr>
        <w:ind w:left="5496" w:hanging="552"/>
      </w:pPr>
      <w:rPr>
        <w:rFonts w:hint="default"/>
        <w:lang w:val="pt-PT" w:eastAsia="en-US" w:bidi="ar-SA"/>
      </w:rPr>
    </w:lvl>
    <w:lvl w:ilvl="7">
      <w:start w:val="0"/>
      <w:numFmt w:val="bullet"/>
      <w:lvlText w:val="•"/>
      <w:lvlJc w:val="left"/>
      <w:pPr>
        <w:ind w:left="6675" w:hanging="552"/>
      </w:pPr>
      <w:rPr>
        <w:rFonts w:hint="default"/>
        <w:lang w:val="pt-PT" w:eastAsia="en-US" w:bidi="ar-SA"/>
      </w:rPr>
    </w:lvl>
    <w:lvl w:ilvl="8">
      <w:start w:val="0"/>
      <w:numFmt w:val="bullet"/>
      <w:lvlText w:val="•"/>
      <w:lvlJc w:val="left"/>
      <w:pPr>
        <w:ind w:left="7854" w:hanging="552"/>
      </w:pPr>
      <w:rPr>
        <w:rFonts w:hint="default"/>
        <w:lang w:val="pt-PT" w:eastAsia="en-US" w:bidi="ar-SA"/>
      </w:rPr>
    </w:lvl>
  </w:abstract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pt-PT" w:eastAsia="en-US" w:bidi="ar-SA"/>
    </w:rPr>
  </w:style>
  <w:style w:styleId="BodyText" w:type="paragraph">
    <w:name w:val="Body Text"/>
    <w:basedOn w:val="Normal"/>
    <w:uiPriority w:val="1"/>
    <w:qFormat/>
    <w:pPr>
      <w:ind w:left="566"/>
    </w:pPr>
    <w:rPr>
      <w:rFonts w:ascii="Calibri" w:hAnsi="Calibri" w:eastAsia="Calibri" w:cs="Calibri"/>
      <w:sz w:val="22"/>
      <w:szCs w:val="22"/>
      <w:lang w:val="pt-PT" w:eastAsia="en-US" w:bidi="ar-SA"/>
    </w:rPr>
  </w:style>
  <w:style w:styleId="Heading1" w:type="paragraph">
    <w:name w:val="Heading 1"/>
    <w:basedOn w:val="Normal"/>
    <w:uiPriority w:val="1"/>
    <w:qFormat/>
    <w:pPr>
      <w:spacing w:before="9"/>
      <w:ind w:left="778" w:hanging="212"/>
      <w:outlineLvl w:val="1"/>
    </w:pPr>
    <w:rPr>
      <w:rFonts w:ascii="Calibri" w:hAnsi="Calibri" w:eastAsia="Calibri" w:cs="Calibri"/>
      <w:b/>
      <w:bCs/>
      <w:sz w:val="22"/>
      <w:szCs w:val="22"/>
      <w:lang w:val="pt-PT" w:eastAsia="en-US" w:bidi="ar-SA"/>
    </w:rPr>
  </w:style>
  <w:style w:styleId="ListParagraph" w:type="paragraph">
    <w:name w:val="List Paragraph"/>
    <w:basedOn w:val="Normal"/>
    <w:uiPriority w:val="1"/>
    <w:qFormat/>
    <w:pPr>
      <w:spacing w:before="182"/>
      <w:ind w:left="566"/>
    </w:pPr>
    <w:rPr>
      <w:rFonts w:ascii="Calibri" w:hAnsi="Calibri" w:eastAsia="Calibri" w:cs="Calibri"/>
      <w:lang w:val="pt-PT" w:eastAsia="en-US" w:bidi="ar-SA"/>
    </w:rPr>
  </w:style>
  <w:style w:styleId="TableParagraph" w:type="paragraph">
    <w:name w:val="Table Paragraph"/>
    <w:basedOn w:val="Normal"/>
    <w:uiPriority w:val="1"/>
    <w:qFormat/>
    <w:pPr/>
    <w:rPr>
      <w:rFonts w:ascii="Calibri" w:hAnsi="Calibri" w:eastAsia="Calibri" w:cs="Calibri"/>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sandro gomes</dc:creator>
  <dcterms:created xsi:type="dcterms:W3CDTF">2026-08-04T10:46:34Z</dcterms:created>
  <dcterms:modified xsi:type="dcterms:W3CDTF">2026-08-04T10:46:34Z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2026-07-30T00:00:00Z</vt:filetime>
  </property>
  <property fmtid="{D5CDD505-2E9C-101B-9397-08002B2CF9AE}" pid="4" name="Creator">
    <vt:lpwstr>Microsoft® Word 2019</vt:lpwstr>
  </property>
  <property fmtid="{D5CDD505-2E9C-101B-9397-08002B2CF9AE}" pid="5" name="LastSaved">
    <vt:filetime>2026-08-04T00:00:00Z</vt:filetime>
  </property>
  <property fmtid="{D5CDD505-2E9C-101B-9397-08002B2CF9AE}" pid="6" name="Producer">
    <vt:lpwstr>Microsoft® Word 2019</vt:lpwstr>
  </property>
</Properties>
</file>